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05" w:rsidRDefault="00A70B05" w:rsidP="00A70B05">
      <w:pPr>
        <w:pStyle w:val="BodySingle"/>
        <w:jc w:val="center"/>
      </w:pPr>
      <w:r>
        <w:t xml:space="preserve">Аналитическая справка по работе с обращениями граждан и </w:t>
      </w:r>
    </w:p>
    <w:p w:rsidR="00A70B05" w:rsidRPr="00B63E9C" w:rsidRDefault="00A70B05" w:rsidP="00A70B05">
      <w:pPr>
        <w:pStyle w:val="BodySingle"/>
        <w:jc w:val="center"/>
      </w:pPr>
      <w:r>
        <w:t xml:space="preserve">организаций </w:t>
      </w:r>
      <w:r w:rsidR="00264C89">
        <w:t>в</w:t>
      </w:r>
      <w:r>
        <w:t xml:space="preserve"> 202</w:t>
      </w:r>
      <w:r w:rsidR="008E039A" w:rsidRPr="009647D5">
        <w:t>2</w:t>
      </w:r>
      <w:r w:rsidR="009647D5">
        <w:t xml:space="preserve"> год</w:t>
      </w:r>
      <w:r w:rsidR="00264C89">
        <w:t>у</w:t>
      </w:r>
    </w:p>
    <w:p w:rsidR="00892A49" w:rsidRDefault="00892A49" w:rsidP="00A70B05">
      <w:pPr>
        <w:pStyle w:val="BodySingle"/>
        <w:jc w:val="center"/>
      </w:pPr>
    </w:p>
    <w:p w:rsidR="00A70B05" w:rsidRDefault="00A70B05" w:rsidP="00670F88">
      <w:pPr>
        <w:pStyle w:val="BodySingle"/>
        <w:ind w:firstLine="709"/>
        <w:jc w:val="both"/>
      </w:pPr>
      <w:r w:rsidRPr="00F37CC7">
        <w:t>Во исполнение распоряжения Коллегии Администрации Кемеровской области от 27.02.2017 №</w:t>
      </w:r>
      <w:r w:rsidR="005C52DA">
        <w:t xml:space="preserve"> </w:t>
      </w:r>
      <w:r w:rsidRPr="00F37CC7">
        <w:t xml:space="preserve">91-р «О повышении качества работы с обращениями граждан в исполнительных органах государственной власти Кемеровской области и органах местного самоуправления» Министерством образования Кузбасса (далее </w:t>
      </w:r>
      <w:r w:rsidR="004836D1">
        <w:t>-</w:t>
      </w:r>
      <w:r w:rsidRPr="00F37CC7">
        <w:t xml:space="preserve"> Министерство) проанализирована работа с обращениями граждан за </w:t>
      </w:r>
      <w:r w:rsidR="000C1679">
        <w:t xml:space="preserve">                     </w:t>
      </w:r>
      <w:r w:rsidRPr="00F37CC7">
        <w:t>202</w:t>
      </w:r>
      <w:r w:rsidR="00814C50">
        <w:t>2</w:t>
      </w:r>
      <w:r w:rsidR="009647D5">
        <w:t xml:space="preserve"> год</w:t>
      </w:r>
      <w:r w:rsidRPr="00F37CC7">
        <w:t>.</w:t>
      </w:r>
    </w:p>
    <w:p w:rsidR="008113E3" w:rsidRDefault="00CE484C" w:rsidP="00670F88">
      <w:pPr>
        <w:pStyle w:val="BodySingle"/>
        <w:ind w:firstLine="709"/>
        <w:jc w:val="both"/>
      </w:pPr>
      <w:r>
        <w:t xml:space="preserve">В Министерство образования Кузбасса в 2022 году поступило </w:t>
      </w:r>
      <w:r w:rsidR="008E5202">
        <w:t xml:space="preserve">                                        </w:t>
      </w:r>
      <w:r>
        <w:t>304</w:t>
      </w:r>
      <w:r w:rsidR="0084325A">
        <w:t>1</w:t>
      </w:r>
      <w:r>
        <w:t xml:space="preserve"> обращени</w:t>
      </w:r>
      <w:r w:rsidR="0008122E">
        <w:t>е</w:t>
      </w:r>
      <w:r>
        <w:t xml:space="preserve"> граждан</w:t>
      </w:r>
      <w:r w:rsidR="008113E3">
        <w:t xml:space="preserve">, что </w:t>
      </w:r>
      <w:r w:rsidR="008752D4" w:rsidRPr="00F37CC7">
        <w:rPr>
          <w:szCs w:val="28"/>
        </w:rPr>
        <w:t xml:space="preserve">на </w:t>
      </w:r>
      <w:r w:rsidR="008752D4">
        <w:rPr>
          <w:szCs w:val="28"/>
        </w:rPr>
        <w:t xml:space="preserve">24,8% </w:t>
      </w:r>
      <w:r w:rsidR="0008122E">
        <w:t>меньше 2021</w:t>
      </w:r>
      <w:r w:rsidR="008752D4">
        <w:t xml:space="preserve"> года</w:t>
      </w:r>
      <w:r w:rsidR="0008122E">
        <w:t xml:space="preserve"> </w:t>
      </w:r>
      <w:r w:rsidR="008752D4">
        <w:t>(</w:t>
      </w:r>
      <w:r w:rsidR="0008122E">
        <w:t>4047 обращений)</w:t>
      </w:r>
      <w:r w:rsidR="00EE781B">
        <w:t>.</w:t>
      </w:r>
      <w:r w:rsidR="008113E3" w:rsidRPr="00D669C7">
        <w:t xml:space="preserve"> </w:t>
      </w:r>
    </w:p>
    <w:p w:rsidR="00A0699D" w:rsidRDefault="00A0699D" w:rsidP="00A0699D">
      <w:pPr>
        <w:pStyle w:val="BodySingle"/>
        <w:spacing w:line="360" w:lineRule="auto"/>
        <w:ind w:firstLine="709"/>
        <w:jc w:val="center"/>
      </w:pPr>
      <w:r>
        <w:rPr>
          <w:noProof/>
          <w:snapToGrid/>
        </w:rPr>
        <w:drawing>
          <wp:inline distT="0" distB="0" distL="0" distR="0" wp14:anchorId="4A113BB2" wp14:editId="122C0431">
            <wp:extent cx="3891686" cy="1821484"/>
            <wp:effectExtent l="0" t="0" r="13970" b="2667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8122E" w:rsidRDefault="0008122E" w:rsidP="00670F88">
      <w:pPr>
        <w:pStyle w:val="BodySingle"/>
        <w:ind w:firstLine="709"/>
        <w:jc w:val="both"/>
      </w:pPr>
      <w:r>
        <w:t>Источники поступления обращений представлены следующим образом:</w:t>
      </w:r>
    </w:p>
    <w:p w:rsidR="0008122E" w:rsidRDefault="0008122E" w:rsidP="00670F88">
      <w:pPr>
        <w:pStyle w:val="BodySingle"/>
        <w:jc w:val="both"/>
      </w:pPr>
      <w:r>
        <w:t>из Администрации Правительства Кузбасса поступило – 868 обращений                               (в 2021 году – 1048); непосредственно от граждан и организаций поступило – 2173 обращения (2021 году – 2999).</w:t>
      </w:r>
    </w:p>
    <w:p w:rsidR="00CE484C" w:rsidRDefault="0008122E" w:rsidP="00A0699D">
      <w:pPr>
        <w:pStyle w:val="BodySingle"/>
        <w:spacing w:line="360" w:lineRule="auto"/>
        <w:ind w:firstLine="709"/>
        <w:jc w:val="both"/>
      </w:pPr>
      <w:r w:rsidRPr="0008122E">
        <w:rPr>
          <w:noProof/>
          <w:snapToGrid/>
          <w:szCs w:val="28"/>
        </w:rPr>
        <w:drawing>
          <wp:inline distT="0" distB="0" distL="0" distR="0" wp14:anchorId="6693270C" wp14:editId="364DDD6A">
            <wp:extent cx="5486400" cy="18383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1801" w:rsidRDefault="0008122E" w:rsidP="00670F88">
      <w:pPr>
        <w:pStyle w:val="BodySingle"/>
        <w:ind w:firstLine="709"/>
        <w:jc w:val="both"/>
      </w:pPr>
      <w:r>
        <w:t xml:space="preserve">В 2022 году наибольшее количество обращений поступило в форме электронного </w:t>
      </w:r>
      <w:r w:rsidR="00A01801">
        <w:t>д</w:t>
      </w:r>
      <w:r>
        <w:t>окумента – 72,</w:t>
      </w:r>
      <w:r w:rsidR="00A01801">
        <w:t xml:space="preserve">4% от общего количества, что практически идентично 2021 году (71%); обращения на бумажном носителе составили – </w:t>
      </w:r>
      <w:r w:rsidR="008752D4">
        <w:t xml:space="preserve">                </w:t>
      </w:r>
      <w:r w:rsidR="00A01801">
        <w:t xml:space="preserve">22% (в 2021 году – 26%); количество </w:t>
      </w:r>
      <w:proofErr w:type="gramStart"/>
      <w:r w:rsidR="00A01801">
        <w:t>обращений, поступивших в ходе личных приемов по сравнению с прошлым годом увеличилось</w:t>
      </w:r>
      <w:proofErr w:type="gramEnd"/>
      <w:r w:rsidR="00A01801">
        <w:t xml:space="preserve"> на 2,7%.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82"/>
        <w:gridCol w:w="2431"/>
        <w:gridCol w:w="3425"/>
        <w:gridCol w:w="2693"/>
      </w:tblGrid>
      <w:tr w:rsidR="00A01801" w:rsidRPr="00130FC6" w:rsidTr="00A01801">
        <w:tc>
          <w:tcPr>
            <w:tcW w:w="1482" w:type="dxa"/>
          </w:tcPr>
          <w:p w:rsidR="00A01801" w:rsidRPr="00A01801" w:rsidRDefault="00A01801" w:rsidP="00DA325B">
            <w:pPr>
              <w:pStyle w:val="BodySingle"/>
              <w:jc w:val="center"/>
              <w:rPr>
                <w:szCs w:val="28"/>
              </w:rPr>
            </w:pPr>
            <w:r w:rsidRPr="00A01801">
              <w:rPr>
                <w:szCs w:val="28"/>
              </w:rPr>
              <w:t>Год</w:t>
            </w:r>
          </w:p>
        </w:tc>
        <w:tc>
          <w:tcPr>
            <w:tcW w:w="2431" w:type="dxa"/>
          </w:tcPr>
          <w:p w:rsidR="00A01801" w:rsidRPr="00A01801" w:rsidRDefault="00A01801" w:rsidP="00A01801">
            <w:pPr>
              <w:pStyle w:val="BodySingle"/>
              <w:jc w:val="center"/>
              <w:rPr>
                <w:szCs w:val="28"/>
              </w:rPr>
            </w:pPr>
            <w:r w:rsidRPr="00A01801">
              <w:rPr>
                <w:szCs w:val="28"/>
              </w:rPr>
              <w:t>Обращения в форме электронного документа</w:t>
            </w:r>
          </w:p>
        </w:tc>
        <w:tc>
          <w:tcPr>
            <w:tcW w:w="3425" w:type="dxa"/>
          </w:tcPr>
          <w:p w:rsidR="00A01801" w:rsidRPr="00A01801" w:rsidRDefault="00A01801" w:rsidP="00A01801">
            <w:pPr>
              <w:pStyle w:val="BodySingle"/>
              <w:jc w:val="center"/>
              <w:rPr>
                <w:szCs w:val="28"/>
              </w:rPr>
            </w:pPr>
            <w:r w:rsidRPr="00A01801">
              <w:rPr>
                <w:szCs w:val="28"/>
              </w:rPr>
              <w:t>Обращения, на бумажном носителе</w:t>
            </w:r>
          </w:p>
        </w:tc>
        <w:tc>
          <w:tcPr>
            <w:tcW w:w="2693" w:type="dxa"/>
          </w:tcPr>
          <w:p w:rsidR="00A01801" w:rsidRPr="00A01801" w:rsidRDefault="00A01801" w:rsidP="00A01801">
            <w:pPr>
              <w:pStyle w:val="BodySingle"/>
              <w:jc w:val="center"/>
              <w:rPr>
                <w:szCs w:val="28"/>
              </w:rPr>
            </w:pPr>
            <w:r w:rsidRPr="00A01801">
              <w:rPr>
                <w:szCs w:val="28"/>
              </w:rPr>
              <w:t xml:space="preserve">Устные обращения, поступившие </w:t>
            </w:r>
            <w:proofErr w:type="gramStart"/>
            <w:r w:rsidRPr="00A01801">
              <w:rPr>
                <w:szCs w:val="28"/>
              </w:rPr>
              <w:t>в</w:t>
            </w:r>
            <w:proofErr w:type="gramEnd"/>
            <w:r w:rsidRPr="00A01801">
              <w:rPr>
                <w:szCs w:val="28"/>
              </w:rPr>
              <w:t xml:space="preserve"> личных приемов</w:t>
            </w:r>
          </w:p>
        </w:tc>
      </w:tr>
      <w:tr w:rsidR="00A01801" w:rsidRPr="00130FC6" w:rsidTr="00A01801">
        <w:tc>
          <w:tcPr>
            <w:tcW w:w="1482" w:type="dxa"/>
          </w:tcPr>
          <w:p w:rsidR="00A01801" w:rsidRPr="00A01801" w:rsidRDefault="00A01801" w:rsidP="00A01801">
            <w:pPr>
              <w:pStyle w:val="BodySingle"/>
              <w:jc w:val="center"/>
              <w:rPr>
                <w:szCs w:val="28"/>
              </w:rPr>
            </w:pPr>
            <w:r w:rsidRPr="00A01801">
              <w:rPr>
                <w:szCs w:val="28"/>
              </w:rPr>
              <w:t xml:space="preserve">2021 год </w:t>
            </w:r>
          </w:p>
        </w:tc>
        <w:tc>
          <w:tcPr>
            <w:tcW w:w="2431" w:type="dxa"/>
          </w:tcPr>
          <w:p w:rsidR="00A01801" w:rsidRPr="00A01801" w:rsidRDefault="00A01801" w:rsidP="00A01801">
            <w:pPr>
              <w:pStyle w:val="BodySingle"/>
              <w:jc w:val="center"/>
              <w:rPr>
                <w:szCs w:val="28"/>
              </w:rPr>
            </w:pPr>
            <w:r w:rsidRPr="00A01801">
              <w:rPr>
                <w:szCs w:val="28"/>
              </w:rPr>
              <w:t xml:space="preserve">2879 </w:t>
            </w:r>
          </w:p>
        </w:tc>
        <w:tc>
          <w:tcPr>
            <w:tcW w:w="3425" w:type="dxa"/>
          </w:tcPr>
          <w:p w:rsidR="00A01801" w:rsidRPr="00A01801" w:rsidRDefault="00A01801" w:rsidP="00A6124A">
            <w:pPr>
              <w:pStyle w:val="BodySingle"/>
              <w:jc w:val="center"/>
              <w:rPr>
                <w:szCs w:val="28"/>
              </w:rPr>
            </w:pPr>
            <w:r w:rsidRPr="00A01801">
              <w:rPr>
                <w:szCs w:val="28"/>
              </w:rPr>
              <w:t xml:space="preserve">1054 </w:t>
            </w:r>
          </w:p>
        </w:tc>
        <w:tc>
          <w:tcPr>
            <w:tcW w:w="2693" w:type="dxa"/>
          </w:tcPr>
          <w:p w:rsidR="00A01801" w:rsidRPr="00A01801" w:rsidRDefault="00A01801" w:rsidP="00C12C5A">
            <w:pPr>
              <w:pStyle w:val="BodySingle"/>
              <w:jc w:val="center"/>
              <w:rPr>
                <w:szCs w:val="28"/>
              </w:rPr>
            </w:pPr>
            <w:r w:rsidRPr="00A01801">
              <w:rPr>
                <w:szCs w:val="28"/>
              </w:rPr>
              <w:t xml:space="preserve">114 </w:t>
            </w:r>
          </w:p>
        </w:tc>
      </w:tr>
      <w:tr w:rsidR="00A01801" w:rsidRPr="00130FC6" w:rsidTr="00A01801">
        <w:tc>
          <w:tcPr>
            <w:tcW w:w="1482" w:type="dxa"/>
          </w:tcPr>
          <w:p w:rsidR="00A01801" w:rsidRPr="00A01801" w:rsidRDefault="00A01801" w:rsidP="00A01801">
            <w:pPr>
              <w:pStyle w:val="BodySingle"/>
              <w:jc w:val="center"/>
              <w:rPr>
                <w:szCs w:val="28"/>
              </w:rPr>
            </w:pPr>
            <w:r w:rsidRPr="00A01801">
              <w:rPr>
                <w:szCs w:val="28"/>
              </w:rPr>
              <w:t xml:space="preserve">2022 год </w:t>
            </w:r>
          </w:p>
        </w:tc>
        <w:tc>
          <w:tcPr>
            <w:tcW w:w="2431" w:type="dxa"/>
          </w:tcPr>
          <w:p w:rsidR="00A01801" w:rsidRPr="00A01801" w:rsidRDefault="00A01801" w:rsidP="00A01801">
            <w:pPr>
              <w:pStyle w:val="BodySingle"/>
              <w:jc w:val="center"/>
              <w:rPr>
                <w:szCs w:val="28"/>
              </w:rPr>
            </w:pPr>
            <w:r w:rsidRPr="00A01801">
              <w:rPr>
                <w:szCs w:val="28"/>
              </w:rPr>
              <w:t xml:space="preserve">2202 </w:t>
            </w:r>
          </w:p>
        </w:tc>
        <w:tc>
          <w:tcPr>
            <w:tcW w:w="3425" w:type="dxa"/>
          </w:tcPr>
          <w:p w:rsidR="00A01801" w:rsidRPr="00A01801" w:rsidRDefault="00A01801" w:rsidP="00A6124A">
            <w:pPr>
              <w:pStyle w:val="BodySingle"/>
              <w:jc w:val="center"/>
              <w:rPr>
                <w:szCs w:val="28"/>
              </w:rPr>
            </w:pPr>
            <w:r w:rsidRPr="00A01801">
              <w:rPr>
                <w:szCs w:val="28"/>
              </w:rPr>
              <w:t xml:space="preserve">672 </w:t>
            </w:r>
          </w:p>
        </w:tc>
        <w:tc>
          <w:tcPr>
            <w:tcW w:w="2693" w:type="dxa"/>
          </w:tcPr>
          <w:p w:rsidR="00A01801" w:rsidRPr="00A01801" w:rsidRDefault="00A01801" w:rsidP="00C12C5A">
            <w:pPr>
              <w:pStyle w:val="BodySingle"/>
              <w:jc w:val="center"/>
              <w:rPr>
                <w:szCs w:val="28"/>
              </w:rPr>
            </w:pPr>
            <w:r w:rsidRPr="00A01801">
              <w:rPr>
                <w:szCs w:val="28"/>
              </w:rPr>
              <w:t xml:space="preserve">167 </w:t>
            </w:r>
          </w:p>
        </w:tc>
      </w:tr>
    </w:tbl>
    <w:p w:rsidR="00892A49" w:rsidRDefault="00892A49" w:rsidP="009D42DB">
      <w:pPr>
        <w:pStyle w:val="BodySingle"/>
        <w:spacing w:line="360" w:lineRule="auto"/>
        <w:ind w:firstLine="709"/>
        <w:jc w:val="both"/>
      </w:pPr>
    </w:p>
    <w:p w:rsidR="009D42DB" w:rsidRDefault="009D42DB" w:rsidP="00670F88">
      <w:pPr>
        <w:pStyle w:val="BodySingle"/>
        <w:ind w:firstLine="709"/>
        <w:jc w:val="both"/>
      </w:pPr>
      <w:r>
        <w:lastRenderedPageBreak/>
        <w:t>По результатам рассмотрения обращений граждан в 2022 году н</w:t>
      </w:r>
      <w:r w:rsidRPr="00F37CC7">
        <w:t xml:space="preserve">а </w:t>
      </w:r>
      <w:r>
        <w:t xml:space="preserve">                      1914</w:t>
      </w:r>
      <w:r w:rsidRPr="00F37CC7">
        <w:t xml:space="preserve"> </w:t>
      </w:r>
      <w:r w:rsidR="00C0056F" w:rsidRPr="00F37CC7">
        <w:t>(6</w:t>
      </w:r>
      <w:r w:rsidR="00C0056F">
        <w:t>3</w:t>
      </w:r>
      <w:r w:rsidR="00C0056F" w:rsidRPr="00F37CC7">
        <w:t>%</w:t>
      </w:r>
      <w:r w:rsidR="00C0056F">
        <w:t xml:space="preserve">) </w:t>
      </w:r>
      <w:r w:rsidRPr="00F37CC7">
        <w:t xml:space="preserve">обращений даны разъяснения </w:t>
      </w:r>
      <w:r w:rsidR="00C0056F">
        <w:t>(</w:t>
      </w:r>
      <w:r w:rsidR="00A01801">
        <w:t>2021 год - 2702 обращения</w:t>
      </w:r>
      <w:r w:rsidR="00C0056F">
        <w:t>)</w:t>
      </w:r>
      <w:r w:rsidRPr="00F37CC7">
        <w:t xml:space="preserve">, </w:t>
      </w:r>
      <w:r w:rsidR="00C0056F">
        <w:t xml:space="preserve">                         </w:t>
      </w:r>
      <w:r>
        <w:t xml:space="preserve">739 </w:t>
      </w:r>
      <w:r w:rsidR="00C0056F">
        <w:t xml:space="preserve">(24,3%) </w:t>
      </w:r>
      <w:r>
        <w:t xml:space="preserve">обращений </w:t>
      </w:r>
      <w:r w:rsidRPr="00F37CC7">
        <w:t>направлены для ра</w:t>
      </w:r>
      <w:r>
        <w:t>ссмотрения по принадлежности в местные органы самоуправления и иные органы государственной власти</w:t>
      </w:r>
      <w:r w:rsidR="00C0056F">
        <w:t xml:space="preserve">                         (</w:t>
      </w:r>
      <w:r w:rsidR="00A01801">
        <w:t>2021 год - 844 обращений</w:t>
      </w:r>
      <w:r w:rsidR="00C0056F">
        <w:t>)</w:t>
      </w:r>
      <w:r>
        <w:t>, 388</w:t>
      </w:r>
      <w:r w:rsidR="00C0056F">
        <w:t xml:space="preserve"> (12,7</w:t>
      </w:r>
      <w:r w:rsidR="00C0056F" w:rsidRPr="00F37CC7">
        <w:t>%)</w:t>
      </w:r>
      <w:r>
        <w:t xml:space="preserve"> </w:t>
      </w:r>
      <w:r w:rsidRPr="00F37CC7">
        <w:t>обращени</w:t>
      </w:r>
      <w:r>
        <w:t>й находятся на рассмотрении</w:t>
      </w:r>
      <w:r w:rsidR="00A01801">
        <w:t>.</w:t>
      </w:r>
    </w:p>
    <w:p w:rsidR="009D42DB" w:rsidRDefault="00C0056F" w:rsidP="00F97802">
      <w:pPr>
        <w:pStyle w:val="BodySingle"/>
        <w:spacing w:line="360" w:lineRule="auto"/>
        <w:ind w:firstLine="709"/>
        <w:jc w:val="center"/>
        <w:rPr>
          <w:szCs w:val="28"/>
        </w:rPr>
      </w:pPr>
      <w:r>
        <w:rPr>
          <w:noProof/>
          <w:snapToGrid/>
          <w:szCs w:val="28"/>
        </w:rPr>
        <w:drawing>
          <wp:inline distT="0" distB="0" distL="0" distR="0">
            <wp:extent cx="5695950" cy="20193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13B5" w:rsidRDefault="00A01801" w:rsidP="00670F88">
      <w:pPr>
        <w:pStyle w:val="BodySingle"/>
        <w:ind w:firstLine="709"/>
        <w:jc w:val="both"/>
      </w:pPr>
      <w:r>
        <w:t xml:space="preserve">Содержание обращений представлено: </w:t>
      </w:r>
      <w:r w:rsidR="00892A49">
        <w:t>з</w:t>
      </w:r>
      <w:r>
        <w:t xml:space="preserve">аявления – 53 </w:t>
      </w:r>
      <w:r w:rsidR="00892A49">
        <w:t xml:space="preserve">% от общего </w:t>
      </w:r>
      <w:r>
        <w:t>количества обращений (2021 год – 49,2%)</w:t>
      </w:r>
      <w:r w:rsidR="00F13006">
        <w:t>;</w:t>
      </w:r>
      <w:r>
        <w:t xml:space="preserve"> жалобы –</w:t>
      </w:r>
      <w:r w:rsidR="008752D4">
        <w:t xml:space="preserve"> </w:t>
      </w:r>
      <w:r>
        <w:t xml:space="preserve">40% (2021 год </w:t>
      </w:r>
      <w:r w:rsidR="00F13006">
        <w:t>–</w:t>
      </w:r>
      <w:r>
        <w:t xml:space="preserve"> </w:t>
      </w:r>
      <w:r w:rsidR="00F13006">
        <w:t>45%</w:t>
      </w:r>
      <w:r>
        <w:t>)</w:t>
      </w:r>
      <w:r w:rsidR="00F13006">
        <w:t xml:space="preserve">; запросы – 5,5% (2021 год – 5,6%). </w:t>
      </w:r>
    </w:p>
    <w:p w:rsidR="00892A49" w:rsidRDefault="00F97802" w:rsidP="00F97802">
      <w:pPr>
        <w:pStyle w:val="BodySingle"/>
        <w:spacing w:line="360" w:lineRule="auto"/>
        <w:ind w:firstLine="709"/>
        <w:jc w:val="center"/>
        <w:rPr>
          <w:szCs w:val="28"/>
        </w:rPr>
      </w:pPr>
      <w:r>
        <w:rPr>
          <w:noProof/>
          <w:snapToGrid/>
        </w:rPr>
        <w:drawing>
          <wp:inline distT="0" distB="0" distL="0" distR="0" wp14:anchorId="0D06FD67" wp14:editId="603403F3">
            <wp:extent cx="5695950" cy="200025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27EC3" w:rsidRDefault="00F247A0" w:rsidP="00670F88">
      <w:pPr>
        <w:pStyle w:val="BodySingle"/>
        <w:ind w:firstLine="709"/>
        <w:jc w:val="both"/>
        <w:rPr>
          <w:szCs w:val="28"/>
        </w:rPr>
      </w:pPr>
      <w:r>
        <w:rPr>
          <w:szCs w:val="28"/>
        </w:rPr>
        <w:t xml:space="preserve">Аналогично с прошлым годом в 2022 году преобладающими были </w:t>
      </w:r>
      <w:r w:rsidR="008752D4">
        <w:rPr>
          <w:szCs w:val="28"/>
        </w:rPr>
        <w:t>следующие</w:t>
      </w:r>
      <w:r w:rsidR="00EE781B">
        <w:rPr>
          <w:szCs w:val="28"/>
        </w:rPr>
        <w:t xml:space="preserve"> </w:t>
      </w:r>
      <w:r>
        <w:rPr>
          <w:szCs w:val="28"/>
        </w:rPr>
        <w:t>тематики обращений:</w:t>
      </w:r>
    </w:p>
    <w:p w:rsidR="00427EC3" w:rsidRDefault="00427EC3" w:rsidP="00670F88">
      <w:pPr>
        <w:pStyle w:val="BodySingle"/>
        <w:ind w:firstLine="709"/>
        <w:jc w:val="both"/>
      </w:pPr>
      <w:r>
        <w:rPr>
          <w:szCs w:val="28"/>
        </w:rPr>
        <w:t xml:space="preserve">- </w:t>
      </w:r>
      <w:r w:rsidR="00635106" w:rsidRPr="008E4817">
        <w:rPr>
          <w:b/>
          <w:szCs w:val="28"/>
        </w:rPr>
        <w:t>«О</w:t>
      </w:r>
      <w:r w:rsidR="00CF2E2E" w:rsidRPr="008E4817">
        <w:rPr>
          <w:b/>
        </w:rPr>
        <w:t>бразование, наука, культура</w:t>
      </w:r>
      <w:r w:rsidR="00635106" w:rsidRPr="008E4817">
        <w:rPr>
          <w:b/>
        </w:rPr>
        <w:t>»</w:t>
      </w:r>
      <w:r w:rsidR="00CF2E2E" w:rsidRPr="009E2701">
        <w:rPr>
          <w:b/>
        </w:rPr>
        <w:t xml:space="preserve"> </w:t>
      </w:r>
      <w:r w:rsidR="00635106" w:rsidRPr="00635106">
        <w:t>(</w:t>
      </w:r>
      <w:r w:rsidR="005C0281" w:rsidRPr="00635106">
        <w:t xml:space="preserve">992 обращения </w:t>
      </w:r>
      <w:r w:rsidR="00CF2E2E" w:rsidRPr="00635106">
        <w:t>(32</w:t>
      </w:r>
      <w:r w:rsidR="005C0281" w:rsidRPr="00635106">
        <w:t>,6</w:t>
      </w:r>
      <w:r w:rsidR="00CF2E2E" w:rsidRPr="00635106">
        <w:t>%),</w:t>
      </w:r>
      <w:r w:rsidR="00CF2E2E" w:rsidRPr="00C83EF4">
        <w:t xml:space="preserve"> что на</w:t>
      </w:r>
      <w:r w:rsidR="005C0281" w:rsidRPr="00C83EF4">
        <w:t xml:space="preserve"> </w:t>
      </w:r>
      <w:r w:rsidR="00EE781B">
        <w:t xml:space="preserve">                       </w:t>
      </w:r>
      <w:r w:rsidR="00C83EF4" w:rsidRPr="00C83EF4">
        <w:t>29 % меньше, чем в 2021 году</w:t>
      </w:r>
      <w:r w:rsidR="00F247A0">
        <w:t xml:space="preserve"> </w:t>
      </w:r>
      <w:r w:rsidR="008752D4">
        <w:t>(</w:t>
      </w:r>
      <w:r w:rsidR="00F247A0">
        <w:t>1285 обращений</w:t>
      </w:r>
      <w:r w:rsidR="008752D4">
        <w:t>)</w:t>
      </w:r>
      <w:r w:rsidR="00C83EF4" w:rsidRPr="00C83EF4">
        <w:t>;</w:t>
      </w:r>
      <w:r w:rsidR="00CF2E2E" w:rsidRPr="00C83EF4">
        <w:t xml:space="preserve"> </w:t>
      </w:r>
    </w:p>
    <w:p w:rsidR="008752D4" w:rsidRDefault="008752D4" w:rsidP="00670F88">
      <w:pPr>
        <w:pStyle w:val="BodySingle"/>
        <w:ind w:firstLine="709"/>
        <w:jc w:val="both"/>
      </w:pPr>
      <w:r>
        <w:rPr>
          <w:szCs w:val="28"/>
        </w:rPr>
        <w:t xml:space="preserve">- </w:t>
      </w:r>
      <w:r w:rsidRPr="00635106">
        <w:rPr>
          <w:b/>
          <w:szCs w:val="28"/>
        </w:rPr>
        <w:t>«Семья</w:t>
      </w:r>
      <w:r>
        <w:rPr>
          <w:b/>
          <w:szCs w:val="28"/>
        </w:rPr>
        <w:t xml:space="preserve">» </w:t>
      </w:r>
      <w:r w:rsidRPr="00635106">
        <w:rPr>
          <w:szCs w:val="28"/>
        </w:rPr>
        <w:t>(480 обращений (15,7%)</w:t>
      </w:r>
      <w:r w:rsidRPr="00635106">
        <w:t>,</w:t>
      </w:r>
      <w:r>
        <w:t xml:space="preserve"> что на 38% меньше, чем в 2021 году – 785 обращений;</w:t>
      </w:r>
    </w:p>
    <w:p w:rsidR="00427EC3" w:rsidRDefault="00427EC3" w:rsidP="00670F88">
      <w:pPr>
        <w:pStyle w:val="BodySingle"/>
        <w:ind w:firstLine="709"/>
        <w:jc w:val="both"/>
        <w:rPr>
          <w:szCs w:val="28"/>
        </w:rPr>
      </w:pPr>
      <w:proofErr w:type="gramStart"/>
      <w:r>
        <w:t xml:space="preserve">- </w:t>
      </w:r>
      <w:r w:rsidR="00635106" w:rsidRPr="00635106">
        <w:rPr>
          <w:b/>
        </w:rPr>
        <w:t>«</w:t>
      </w:r>
      <w:r w:rsidR="00635106">
        <w:t>О</w:t>
      </w:r>
      <w:r w:rsidR="00CF2E2E" w:rsidRPr="00EA0676">
        <w:rPr>
          <w:b/>
          <w:szCs w:val="28"/>
        </w:rPr>
        <w:t>беспечение жильем детей</w:t>
      </w:r>
      <w:r w:rsidR="00CF2E2E">
        <w:rPr>
          <w:b/>
          <w:szCs w:val="28"/>
        </w:rPr>
        <w:t>-</w:t>
      </w:r>
      <w:r w:rsidR="00C83EF4">
        <w:rPr>
          <w:b/>
          <w:szCs w:val="28"/>
        </w:rPr>
        <w:t>сирот</w:t>
      </w:r>
      <w:r w:rsidR="00635106">
        <w:rPr>
          <w:b/>
          <w:szCs w:val="28"/>
        </w:rPr>
        <w:t>»</w:t>
      </w:r>
      <w:r w:rsidR="00CF2E2E" w:rsidRPr="00EA0676">
        <w:rPr>
          <w:b/>
          <w:szCs w:val="28"/>
        </w:rPr>
        <w:t xml:space="preserve"> </w:t>
      </w:r>
      <w:r w:rsidR="00635106" w:rsidRPr="00635106">
        <w:rPr>
          <w:szCs w:val="28"/>
        </w:rPr>
        <w:t>(</w:t>
      </w:r>
      <w:r w:rsidR="005C0281" w:rsidRPr="00635106">
        <w:rPr>
          <w:szCs w:val="28"/>
        </w:rPr>
        <w:t>354</w:t>
      </w:r>
      <w:r w:rsidR="00CF2E2E" w:rsidRPr="00635106">
        <w:rPr>
          <w:szCs w:val="28"/>
        </w:rPr>
        <w:t xml:space="preserve"> обращени</w:t>
      </w:r>
      <w:r w:rsidR="00F247A0">
        <w:rPr>
          <w:szCs w:val="28"/>
        </w:rPr>
        <w:t>я</w:t>
      </w:r>
      <w:r w:rsidR="00CF2E2E" w:rsidRPr="00635106">
        <w:rPr>
          <w:szCs w:val="28"/>
        </w:rPr>
        <w:t xml:space="preserve"> </w:t>
      </w:r>
      <w:r w:rsidR="005C0281" w:rsidRPr="00635106">
        <w:rPr>
          <w:szCs w:val="28"/>
        </w:rPr>
        <w:t>(11</w:t>
      </w:r>
      <w:r w:rsidR="00CF2E2E" w:rsidRPr="00635106">
        <w:rPr>
          <w:szCs w:val="28"/>
        </w:rPr>
        <w:t>,</w:t>
      </w:r>
      <w:r w:rsidR="005C0281" w:rsidRPr="00635106">
        <w:rPr>
          <w:szCs w:val="28"/>
        </w:rPr>
        <w:t>6</w:t>
      </w:r>
      <w:r w:rsidR="00CF2E2E" w:rsidRPr="00635106">
        <w:rPr>
          <w:szCs w:val="28"/>
        </w:rPr>
        <w:t>%), что</w:t>
      </w:r>
      <w:r w:rsidR="00CF2E2E" w:rsidRPr="00C83EF4">
        <w:rPr>
          <w:szCs w:val="28"/>
        </w:rPr>
        <w:t xml:space="preserve"> на </w:t>
      </w:r>
      <w:r w:rsidR="00EE781B">
        <w:rPr>
          <w:szCs w:val="28"/>
        </w:rPr>
        <w:t xml:space="preserve">                         </w:t>
      </w:r>
      <w:r w:rsidR="00C83EF4" w:rsidRPr="00C83EF4">
        <w:rPr>
          <w:szCs w:val="28"/>
        </w:rPr>
        <w:t>1</w:t>
      </w:r>
      <w:r w:rsidR="00F247A0">
        <w:rPr>
          <w:szCs w:val="28"/>
        </w:rPr>
        <w:t>5</w:t>
      </w:r>
      <w:r w:rsidR="00CF2E2E" w:rsidRPr="00C83EF4">
        <w:rPr>
          <w:szCs w:val="28"/>
        </w:rPr>
        <w:t xml:space="preserve">% </w:t>
      </w:r>
      <w:r w:rsidR="00C83EF4" w:rsidRPr="00C83EF4">
        <w:rPr>
          <w:szCs w:val="28"/>
        </w:rPr>
        <w:t>меньше, чем в 2021</w:t>
      </w:r>
      <w:r w:rsidR="00CF2E2E" w:rsidRPr="00C83EF4">
        <w:rPr>
          <w:szCs w:val="28"/>
        </w:rPr>
        <w:t xml:space="preserve"> году</w:t>
      </w:r>
      <w:r w:rsidR="00F247A0">
        <w:rPr>
          <w:szCs w:val="28"/>
        </w:rPr>
        <w:t xml:space="preserve"> </w:t>
      </w:r>
      <w:r w:rsidR="008752D4">
        <w:rPr>
          <w:szCs w:val="28"/>
        </w:rPr>
        <w:t>(</w:t>
      </w:r>
      <w:r w:rsidR="00F247A0">
        <w:rPr>
          <w:szCs w:val="28"/>
        </w:rPr>
        <w:t>4</w:t>
      </w:r>
      <w:r w:rsidR="00892A49">
        <w:rPr>
          <w:szCs w:val="28"/>
        </w:rPr>
        <w:t>18</w:t>
      </w:r>
      <w:r w:rsidR="00F247A0">
        <w:rPr>
          <w:szCs w:val="28"/>
        </w:rPr>
        <w:t xml:space="preserve"> обращений</w:t>
      </w:r>
      <w:r w:rsidR="008752D4">
        <w:rPr>
          <w:szCs w:val="28"/>
        </w:rPr>
        <w:t>).</w:t>
      </w:r>
      <w:r w:rsidR="00635106">
        <w:rPr>
          <w:szCs w:val="28"/>
        </w:rPr>
        <w:t xml:space="preserve">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03"/>
        <w:gridCol w:w="1952"/>
        <w:gridCol w:w="2175"/>
        <w:gridCol w:w="1400"/>
        <w:gridCol w:w="1561"/>
      </w:tblGrid>
      <w:tr w:rsidR="00995C24" w:rsidRPr="002A54E9" w:rsidTr="002A54E9">
        <w:trPr>
          <w:trHeight w:val="739"/>
        </w:trPr>
        <w:tc>
          <w:tcPr>
            <w:tcW w:w="540" w:type="dxa"/>
            <w:vMerge w:val="restart"/>
            <w:shd w:val="clear" w:color="auto" w:fill="auto"/>
          </w:tcPr>
          <w:p w:rsidR="00995C24" w:rsidRPr="002A54E9" w:rsidRDefault="00995C24" w:rsidP="007E4CBB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br w:type="page"/>
            </w:r>
            <w:proofErr w:type="gramStart"/>
            <w:r w:rsidRPr="002A54E9">
              <w:rPr>
                <w:sz w:val="22"/>
                <w:szCs w:val="22"/>
              </w:rPr>
              <w:t>п</w:t>
            </w:r>
            <w:proofErr w:type="gramEnd"/>
            <w:r w:rsidRPr="002A54E9">
              <w:rPr>
                <w:sz w:val="22"/>
                <w:szCs w:val="22"/>
              </w:rPr>
              <w:t>/п</w:t>
            </w:r>
          </w:p>
          <w:p w:rsidR="00995C24" w:rsidRPr="002A54E9" w:rsidRDefault="00995C24" w:rsidP="007E4CBB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№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995C24" w:rsidRPr="002A54E9" w:rsidRDefault="00F247A0" w:rsidP="00F247A0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Т</w:t>
            </w:r>
            <w:r w:rsidR="00995C24" w:rsidRPr="002A54E9">
              <w:rPr>
                <w:sz w:val="22"/>
                <w:szCs w:val="22"/>
              </w:rPr>
              <w:t>ематик</w:t>
            </w:r>
            <w:r w:rsidRPr="002A54E9">
              <w:rPr>
                <w:sz w:val="22"/>
                <w:szCs w:val="22"/>
              </w:rPr>
              <w:t xml:space="preserve">а по </w:t>
            </w:r>
            <w:r w:rsidR="00995C24" w:rsidRPr="002A54E9">
              <w:rPr>
                <w:sz w:val="22"/>
                <w:szCs w:val="22"/>
              </w:rPr>
              <w:t xml:space="preserve"> типово</w:t>
            </w:r>
            <w:r w:rsidRPr="002A54E9">
              <w:rPr>
                <w:sz w:val="22"/>
                <w:szCs w:val="22"/>
              </w:rPr>
              <w:t>му</w:t>
            </w:r>
            <w:r w:rsidR="00995C24" w:rsidRPr="002A54E9">
              <w:rPr>
                <w:sz w:val="22"/>
                <w:szCs w:val="22"/>
              </w:rPr>
              <w:t xml:space="preserve"> общероссийско</w:t>
            </w:r>
            <w:r w:rsidRPr="002A54E9">
              <w:rPr>
                <w:sz w:val="22"/>
                <w:szCs w:val="22"/>
              </w:rPr>
              <w:t>му</w:t>
            </w:r>
            <w:r w:rsidR="00995C24" w:rsidRPr="002A54E9">
              <w:rPr>
                <w:sz w:val="22"/>
                <w:szCs w:val="22"/>
              </w:rPr>
              <w:t xml:space="preserve"> классификатор</w:t>
            </w:r>
            <w:r w:rsidRPr="002A54E9">
              <w:rPr>
                <w:sz w:val="22"/>
                <w:szCs w:val="22"/>
              </w:rPr>
              <w:t>у</w:t>
            </w:r>
          </w:p>
        </w:tc>
        <w:tc>
          <w:tcPr>
            <w:tcW w:w="4127" w:type="dxa"/>
            <w:gridSpan w:val="2"/>
            <w:shd w:val="clear" w:color="auto" w:fill="auto"/>
          </w:tcPr>
          <w:p w:rsidR="00995C24" w:rsidRPr="002A54E9" w:rsidRDefault="00995C24" w:rsidP="007E4CBB">
            <w:pPr>
              <w:pStyle w:val="BodySingle"/>
              <w:jc w:val="center"/>
              <w:rPr>
                <w:sz w:val="22"/>
                <w:szCs w:val="22"/>
              </w:rPr>
            </w:pPr>
          </w:p>
          <w:p w:rsidR="00C9658C" w:rsidRPr="002A54E9" w:rsidRDefault="00995C24" w:rsidP="00C9658C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 xml:space="preserve">Количество </w:t>
            </w:r>
            <w:r w:rsidR="00C9658C" w:rsidRPr="002A54E9">
              <w:rPr>
                <w:sz w:val="22"/>
                <w:szCs w:val="22"/>
              </w:rPr>
              <w:t>обращений</w:t>
            </w:r>
            <w:r w:rsidRPr="002A54E9">
              <w:rPr>
                <w:sz w:val="22"/>
                <w:szCs w:val="22"/>
              </w:rPr>
              <w:t xml:space="preserve"> </w:t>
            </w:r>
          </w:p>
          <w:p w:rsidR="00995C24" w:rsidRPr="002A54E9" w:rsidRDefault="00995C24" w:rsidP="00C9658C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по тематике, ед.</w:t>
            </w:r>
          </w:p>
        </w:tc>
        <w:tc>
          <w:tcPr>
            <w:tcW w:w="2961" w:type="dxa"/>
            <w:gridSpan w:val="2"/>
            <w:shd w:val="clear" w:color="auto" w:fill="auto"/>
          </w:tcPr>
          <w:p w:rsidR="00995C24" w:rsidRPr="002A54E9" w:rsidRDefault="00995C24" w:rsidP="007E4CBB">
            <w:pPr>
              <w:pStyle w:val="BodySingle"/>
              <w:jc w:val="center"/>
              <w:rPr>
                <w:sz w:val="22"/>
                <w:szCs w:val="22"/>
              </w:rPr>
            </w:pPr>
          </w:p>
          <w:p w:rsidR="00995C24" w:rsidRPr="002A54E9" w:rsidRDefault="00995C24" w:rsidP="00900156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 xml:space="preserve">Доля </w:t>
            </w:r>
            <w:r w:rsidR="00C9658C" w:rsidRPr="002A54E9">
              <w:rPr>
                <w:sz w:val="22"/>
                <w:szCs w:val="22"/>
              </w:rPr>
              <w:t>от</w:t>
            </w:r>
            <w:r w:rsidRPr="002A54E9">
              <w:rPr>
                <w:sz w:val="22"/>
                <w:szCs w:val="22"/>
              </w:rPr>
              <w:t xml:space="preserve"> обще</w:t>
            </w:r>
            <w:r w:rsidR="00C9658C" w:rsidRPr="002A54E9">
              <w:rPr>
                <w:sz w:val="22"/>
                <w:szCs w:val="22"/>
              </w:rPr>
              <w:t xml:space="preserve">го </w:t>
            </w:r>
            <w:r w:rsidRPr="002A54E9">
              <w:rPr>
                <w:sz w:val="22"/>
                <w:szCs w:val="22"/>
              </w:rPr>
              <w:t>количеств</w:t>
            </w:r>
            <w:r w:rsidR="00C9658C" w:rsidRPr="002A54E9">
              <w:rPr>
                <w:sz w:val="22"/>
                <w:szCs w:val="22"/>
              </w:rPr>
              <w:t>а</w:t>
            </w:r>
            <w:r w:rsidRPr="002A54E9">
              <w:rPr>
                <w:sz w:val="22"/>
                <w:szCs w:val="22"/>
              </w:rPr>
              <w:t xml:space="preserve">, поступивших </w:t>
            </w:r>
            <w:r w:rsidR="00C9658C" w:rsidRPr="002A54E9">
              <w:rPr>
                <w:sz w:val="22"/>
                <w:szCs w:val="22"/>
              </w:rPr>
              <w:t>обращений</w:t>
            </w:r>
            <w:r w:rsidRPr="002A54E9">
              <w:rPr>
                <w:sz w:val="22"/>
                <w:szCs w:val="22"/>
              </w:rPr>
              <w:t>, %</w:t>
            </w:r>
          </w:p>
        </w:tc>
      </w:tr>
      <w:tr w:rsidR="00E71839" w:rsidRPr="002A54E9" w:rsidTr="002A54E9">
        <w:trPr>
          <w:trHeight w:val="269"/>
        </w:trPr>
        <w:tc>
          <w:tcPr>
            <w:tcW w:w="540" w:type="dxa"/>
            <w:vMerge/>
            <w:shd w:val="clear" w:color="auto" w:fill="auto"/>
          </w:tcPr>
          <w:p w:rsidR="00E71839" w:rsidRPr="002A54E9" w:rsidRDefault="00E71839" w:rsidP="007E4CBB">
            <w:pPr>
              <w:pStyle w:val="BodySingle"/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E71839" w:rsidRPr="002A54E9" w:rsidRDefault="00E71839" w:rsidP="007E4CBB">
            <w:pPr>
              <w:pStyle w:val="BodySingle"/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shd w:val="clear" w:color="auto" w:fill="auto"/>
          </w:tcPr>
          <w:p w:rsidR="00E71839" w:rsidRPr="002A54E9" w:rsidRDefault="00C9658C" w:rsidP="00F247A0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 xml:space="preserve">2021 </w:t>
            </w:r>
            <w:r w:rsidR="00E71839" w:rsidRPr="002A54E9"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2175" w:type="dxa"/>
            <w:shd w:val="clear" w:color="auto" w:fill="auto"/>
          </w:tcPr>
          <w:p w:rsidR="00E71839" w:rsidRPr="002A54E9" w:rsidRDefault="00C9658C" w:rsidP="00F247A0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2022</w:t>
            </w:r>
            <w:r w:rsidR="00900156" w:rsidRPr="002A54E9">
              <w:rPr>
                <w:sz w:val="22"/>
                <w:szCs w:val="22"/>
              </w:rPr>
              <w:t xml:space="preserve"> год</w:t>
            </w:r>
            <w:r w:rsidRPr="002A54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</w:tcPr>
          <w:p w:rsidR="00E71839" w:rsidRPr="002A54E9" w:rsidRDefault="00E71839" w:rsidP="00C9658C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202</w:t>
            </w:r>
            <w:r w:rsidR="00C9658C" w:rsidRPr="002A54E9">
              <w:rPr>
                <w:sz w:val="22"/>
                <w:szCs w:val="22"/>
              </w:rPr>
              <w:t>1</w:t>
            </w:r>
            <w:r w:rsidRPr="002A54E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1" w:type="dxa"/>
            <w:shd w:val="clear" w:color="auto" w:fill="auto"/>
          </w:tcPr>
          <w:p w:rsidR="00E71839" w:rsidRPr="002A54E9" w:rsidRDefault="00E71839" w:rsidP="00900156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202</w:t>
            </w:r>
            <w:r w:rsidR="00C9658C" w:rsidRPr="002A54E9">
              <w:rPr>
                <w:sz w:val="22"/>
                <w:szCs w:val="22"/>
              </w:rPr>
              <w:t>2</w:t>
            </w:r>
            <w:r w:rsidRPr="002A54E9">
              <w:rPr>
                <w:sz w:val="22"/>
                <w:szCs w:val="22"/>
              </w:rPr>
              <w:t xml:space="preserve"> год </w:t>
            </w:r>
          </w:p>
        </w:tc>
      </w:tr>
      <w:tr w:rsidR="00995C24" w:rsidRPr="002A54E9" w:rsidTr="002A54E9">
        <w:tc>
          <w:tcPr>
            <w:tcW w:w="540" w:type="dxa"/>
            <w:shd w:val="clear" w:color="auto" w:fill="auto"/>
          </w:tcPr>
          <w:p w:rsidR="00995C24" w:rsidRPr="002A54E9" w:rsidRDefault="00995C24" w:rsidP="007E4CBB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1.</w:t>
            </w:r>
          </w:p>
        </w:tc>
        <w:tc>
          <w:tcPr>
            <w:tcW w:w="2403" w:type="dxa"/>
            <w:shd w:val="clear" w:color="auto" w:fill="auto"/>
          </w:tcPr>
          <w:p w:rsidR="00995C24" w:rsidRPr="002A54E9" w:rsidRDefault="00995C24" w:rsidP="00995C24">
            <w:pPr>
              <w:pStyle w:val="BodySingle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52" w:type="dxa"/>
            <w:shd w:val="clear" w:color="auto" w:fill="auto"/>
          </w:tcPr>
          <w:p w:rsidR="00995C24" w:rsidRPr="002A54E9" w:rsidRDefault="00C9658C" w:rsidP="00C9658C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1285</w:t>
            </w:r>
          </w:p>
        </w:tc>
        <w:tc>
          <w:tcPr>
            <w:tcW w:w="2175" w:type="dxa"/>
            <w:shd w:val="clear" w:color="auto" w:fill="auto"/>
          </w:tcPr>
          <w:p w:rsidR="00995C24" w:rsidRPr="002A54E9" w:rsidRDefault="00C9658C" w:rsidP="007E4CBB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992</w:t>
            </w:r>
          </w:p>
        </w:tc>
        <w:tc>
          <w:tcPr>
            <w:tcW w:w="1400" w:type="dxa"/>
            <w:shd w:val="clear" w:color="auto" w:fill="auto"/>
          </w:tcPr>
          <w:p w:rsidR="00995C24" w:rsidRPr="002A54E9" w:rsidRDefault="00C9658C" w:rsidP="00C9658C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31,7</w:t>
            </w:r>
          </w:p>
        </w:tc>
        <w:tc>
          <w:tcPr>
            <w:tcW w:w="1561" w:type="dxa"/>
            <w:shd w:val="clear" w:color="auto" w:fill="auto"/>
          </w:tcPr>
          <w:p w:rsidR="00995C24" w:rsidRPr="002A54E9" w:rsidRDefault="00C9658C" w:rsidP="007E4CBB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32,6</w:t>
            </w:r>
          </w:p>
        </w:tc>
      </w:tr>
      <w:tr w:rsidR="00F247A0" w:rsidRPr="002A54E9" w:rsidTr="002A54E9">
        <w:tc>
          <w:tcPr>
            <w:tcW w:w="540" w:type="dxa"/>
            <w:shd w:val="clear" w:color="auto" w:fill="auto"/>
          </w:tcPr>
          <w:p w:rsidR="00F247A0" w:rsidRPr="002A54E9" w:rsidRDefault="00F247A0" w:rsidP="00D5067C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2.</w:t>
            </w:r>
          </w:p>
        </w:tc>
        <w:tc>
          <w:tcPr>
            <w:tcW w:w="2403" w:type="dxa"/>
            <w:shd w:val="clear" w:color="auto" w:fill="auto"/>
          </w:tcPr>
          <w:p w:rsidR="00F247A0" w:rsidRPr="002A54E9" w:rsidRDefault="00F247A0" w:rsidP="00053C47">
            <w:pPr>
              <w:pStyle w:val="BodySingle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Семья</w:t>
            </w:r>
          </w:p>
        </w:tc>
        <w:tc>
          <w:tcPr>
            <w:tcW w:w="1952" w:type="dxa"/>
            <w:shd w:val="clear" w:color="auto" w:fill="auto"/>
          </w:tcPr>
          <w:p w:rsidR="00F247A0" w:rsidRPr="002A54E9" w:rsidRDefault="00F247A0" w:rsidP="00053C47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785</w:t>
            </w:r>
          </w:p>
        </w:tc>
        <w:tc>
          <w:tcPr>
            <w:tcW w:w="2175" w:type="dxa"/>
            <w:shd w:val="clear" w:color="auto" w:fill="auto"/>
          </w:tcPr>
          <w:p w:rsidR="00F247A0" w:rsidRPr="002A54E9" w:rsidRDefault="00F247A0" w:rsidP="00053C47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480</w:t>
            </w:r>
          </w:p>
        </w:tc>
        <w:tc>
          <w:tcPr>
            <w:tcW w:w="1400" w:type="dxa"/>
            <w:shd w:val="clear" w:color="auto" w:fill="auto"/>
          </w:tcPr>
          <w:p w:rsidR="00F247A0" w:rsidRPr="002A54E9" w:rsidRDefault="00F247A0" w:rsidP="00053C47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19,3</w:t>
            </w:r>
          </w:p>
        </w:tc>
        <w:tc>
          <w:tcPr>
            <w:tcW w:w="1561" w:type="dxa"/>
            <w:shd w:val="clear" w:color="auto" w:fill="auto"/>
          </w:tcPr>
          <w:p w:rsidR="00F247A0" w:rsidRPr="002A54E9" w:rsidRDefault="00F247A0" w:rsidP="00053C47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15,7</w:t>
            </w:r>
          </w:p>
        </w:tc>
      </w:tr>
      <w:tr w:rsidR="00F247A0" w:rsidRPr="002A54E9" w:rsidTr="002A54E9">
        <w:tc>
          <w:tcPr>
            <w:tcW w:w="540" w:type="dxa"/>
            <w:shd w:val="clear" w:color="auto" w:fill="auto"/>
          </w:tcPr>
          <w:p w:rsidR="00F247A0" w:rsidRPr="002A54E9" w:rsidRDefault="00F247A0" w:rsidP="00D5067C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3.</w:t>
            </w:r>
          </w:p>
        </w:tc>
        <w:tc>
          <w:tcPr>
            <w:tcW w:w="2403" w:type="dxa"/>
            <w:shd w:val="clear" w:color="auto" w:fill="auto"/>
          </w:tcPr>
          <w:p w:rsidR="00F247A0" w:rsidRPr="002A54E9" w:rsidRDefault="00F247A0" w:rsidP="00713371">
            <w:pPr>
              <w:pStyle w:val="BodySingle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Жилище</w:t>
            </w:r>
          </w:p>
        </w:tc>
        <w:tc>
          <w:tcPr>
            <w:tcW w:w="1952" w:type="dxa"/>
            <w:shd w:val="clear" w:color="auto" w:fill="auto"/>
          </w:tcPr>
          <w:p w:rsidR="00F247A0" w:rsidRPr="002A54E9" w:rsidRDefault="00F247A0" w:rsidP="00C9658C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418</w:t>
            </w:r>
          </w:p>
        </w:tc>
        <w:tc>
          <w:tcPr>
            <w:tcW w:w="2175" w:type="dxa"/>
            <w:shd w:val="clear" w:color="auto" w:fill="auto"/>
          </w:tcPr>
          <w:p w:rsidR="00F247A0" w:rsidRPr="002A54E9" w:rsidRDefault="00F247A0" w:rsidP="007E4CBB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354</w:t>
            </w:r>
          </w:p>
        </w:tc>
        <w:tc>
          <w:tcPr>
            <w:tcW w:w="1400" w:type="dxa"/>
            <w:shd w:val="clear" w:color="auto" w:fill="auto"/>
          </w:tcPr>
          <w:p w:rsidR="00F247A0" w:rsidRPr="002A54E9" w:rsidRDefault="00F247A0" w:rsidP="007E4CBB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10,3</w:t>
            </w:r>
          </w:p>
        </w:tc>
        <w:tc>
          <w:tcPr>
            <w:tcW w:w="1561" w:type="dxa"/>
            <w:shd w:val="clear" w:color="auto" w:fill="auto"/>
          </w:tcPr>
          <w:p w:rsidR="00F247A0" w:rsidRPr="002A54E9" w:rsidRDefault="00F247A0" w:rsidP="00C9658C">
            <w:pPr>
              <w:pStyle w:val="BodySingle"/>
              <w:jc w:val="center"/>
              <w:rPr>
                <w:sz w:val="22"/>
                <w:szCs w:val="22"/>
              </w:rPr>
            </w:pPr>
            <w:r w:rsidRPr="002A54E9">
              <w:rPr>
                <w:sz w:val="22"/>
                <w:szCs w:val="22"/>
              </w:rPr>
              <w:t>11,6</w:t>
            </w:r>
          </w:p>
        </w:tc>
      </w:tr>
    </w:tbl>
    <w:p w:rsidR="00224036" w:rsidRDefault="00224036" w:rsidP="00591F50">
      <w:pPr>
        <w:pStyle w:val="BodySingle"/>
        <w:spacing w:line="360" w:lineRule="auto"/>
        <w:ind w:firstLine="709"/>
        <w:jc w:val="center"/>
      </w:pPr>
    </w:p>
    <w:p w:rsidR="00E108BA" w:rsidRDefault="00A952B5" w:rsidP="00591F50">
      <w:pPr>
        <w:pStyle w:val="BodySingle"/>
        <w:spacing w:line="360" w:lineRule="auto"/>
        <w:ind w:firstLine="709"/>
        <w:jc w:val="center"/>
      </w:pPr>
      <w:r>
        <w:rPr>
          <w:noProof/>
          <w:snapToGrid/>
        </w:rPr>
        <w:lastRenderedPageBreak/>
        <w:drawing>
          <wp:inline distT="0" distB="0" distL="0" distR="0">
            <wp:extent cx="5486400" cy="1719072"/>
            <wp:effectExtent l="0" t="0" r="19050" b="1460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3703D" w:rsidRPr="00A85374" w:rsidRDefault="0063703D" w:rsidP="00670F88">
      <w:pPr>
        <w:pStyle w:val="BodySingle"/>
        <w:ind w:right="-1" w:firstLine="708"/>
        <w:jc w:val="both"/>
        <w:rPr>
          <w:szCs w:val="28"/>
        </w:rPr>
      </w:pPr>
      <w:r w:rsidRPr="00A85374">
        <w:rPr>
          <w:szCs w:val="28"/>
        </w:rPr>
        <w:t xml:space="preserve">В </w:t>
      </w:r>
      <w:r w:rsidR="00F247A0">
        <w:rPr>
          <w:szCs w:val="28"/>
        </w:rPr>
        <w:t xml:space="preserve">2022 году </w:t>
      </w:r>
      <w:r w:rsidRPr="00A85374">
        <w:rPr>
          <w:szCs w:val="28"/>
        </w:rPr>
        <w:t xml:space="preserve">Кемеровской области </w:t>
      </w:r>
      <w:r w:rsidR="00DD186E" w:rsidRPr="00A85374">
        <w:rPr>
          <w:szCs w:val="28"/>
        </w:rPr>
        <w:t>-</w:t>
      </w:r>
      <w:r w:rsidRPr="00A85374">
        <w:rPr>
          <w:szCs w:val="28"/>
        </w:rPr>
        <w:t xml:space="preserve"> Кузбассе в списке детей-сирот, подлежащих обеспечению жилыми помещениями, сост</w:t>
      </w:r>
      <w:r w:rsidR="00F247A0">
        <w:rPr>
          <w:szCs w:val="28"/>
        </w:rPr>
        <w:t>ояло</w:t>
      </w:r>
      <w:r w:rsidRPr="00A85374">
        <w:rPr>
          <w:szCs w:val="28"/>
        </w:rPr>
        <w:t xml:space="preserve"> 12</w:t>
      </w:r>
      <w:r w:rsidR="00A85374">
        <w:rPr>
          <w:szCs w:val="28"/>
        </w:rPr>
        <w:t>568</w:t>
      </w:r>
      <w:r w:rsidRPr="00A85374">
        <w:rPr>
          <w:szCs w:val="28"/>
        </w:rPr>
        <w:t xml:space="preserve"> человек, право </w:t>
      </w:r>
      <w:r w:rsidR="00440F72" w:rsidRPr="00A85374">
        <w:rPr>
          <w:szCs w:val="28"/>
        </w:rPr>
        <w:t xml:space="preserve">на получения жилья </w:t>
      </w:r>
      <w:r w:rsidRPr="00A85374">
        <w:rPr>
          <w:szCs w:val="28"/>
        </w:rPr>
        <w:t xml:space="preserve">наступило у </w:t>
      </w:r>
      <w:r w:rsidR="00ED72AA" w:rsidRPr="00A85374">
        <w:rPr>
          <w:szCs w:val="28"/>
        </w:rPr>
        <w:t>9</w:t>
      </w:r>
      <w:r w:rsidR="00A85374">
        <w:rPr>
          <w:szCs w:val="28"/>
        </w:rPr>
        <w:t>134</w:t>
      </w:r>
      <w:r w:rsidRPr="00A85374">
        <w:rPr>
          <w:szCs w:val="28"/>
        </w:rPr>
        <w:t xml:space="preserve"> человек.</w:t>
      </w:r>
    </w:p>
    <w:p w:rsidR="00055A4C" w:rsidRPr="003C394A" w:rsidRDefault="00576844" w:rsidP="00670F88">
      <w:pPr>
        <w:pStyle w:val="11"/>
        <w:tabs>
          <w:tab w:val="left" w:pos="0"/>
        </w:tabs>
        <w:ind w:firstLine="720"/>
      </w:pPr>
      <w:r w:rsidRPr="00A85374">
        <w:t xml:space="preserve">В ходе </w:t>
      </w:r>
      <w:r w:rsidR="0063703D" w:rsidRPr="00A85374">
        <w:t>сравнительного анализа по</w:t>
      </w:r>
      <w:r w:rsidRPr="00A85374">
        <w:t>казателей</w:t>
      </w:r>
      <w:r w:rsidR="0063703D" w:rsidRPr="00A85374">
        <w:t xml:space="preserve"> </w:t>
      </w:r>
      <w:r w:rsidR="003410E0" w:rsidRPr="00A85374">
        <w:t>обеспеченности</w:t>
      </w:r>
      <w:r w:rsidR="00440F72" w:rsidRPr="00A85374">
        <w:t xml:space="preserve"> жилыми помещениями </w:t>
      </w:r>
      <w:r w:rsidR="0063703D" w:rsidRPr="00A85374">
        <w:t>граждан категории «дети-сироты и дети, оставшиеся без попечен</w:t>
      </w:r>
      <w:r w:rsidR="00ED72AA" w:rsidRPr="00A85374">
        <w:t xml:space="preserve">ия родителей» </w:t>
      </w:r>
      <w:r w:rsidRPr="00A85374">
        <w:t xml:space="preserve">установлено, что в 2022 году </w:t>
      </w:r>
      <w:r w:rsidR="0063703D" w:rsidRPr="00A85374">
        <w:t>количеств</w:t>
      </w:r>
      <w:r w:rsidRPr="00A85374">
        <w:t>о</w:t>
      </w:r>
      <w:r w:rsidR="0063703D" w:rsidRPr="00A85374">
        <w:t xml:space="preserve"> предоставляемого жилья</w:t>
      </w:r>
      <w:r w:rsidRPr="00A85374">
        <w:t xml:space="preserve"> возросло на </w:t>
      </w:r>
      <w:r w:rsidR="00F247A0">
        <w:t>32</w:t>
      </w:r>
      <w:r w:rsidRPr="00A85374">
        <w:t xml:space="preserve"> %</w:t>
      </w:r>
      <w:r w:rsidR="00ED72AA" w:rsidRPr="00A85374">
        <w:t xml:space="preserve"> (в 2021 году </w:t>
      </w:r>
      <w:r w:rsidR="003C394A">
        <w:t>–</w:t>
      </w:r>
      <w:r w:rsidR="00ED72AA" w:rsidRPr="00A85374">
        <w:t xml:space="preserve"> </w:t>
      </w:r>
      <w:r w:rsidR="00A85374">
        <w:t>728</w:t>
      </w:r>
      <w:r w:rsidR="00ED72AA" w:rsidRPr="00A85374">
        <w:t xml:space="preserve"> квартир, в 2022 году </w:t>
      </w:r>
      <w:r w:rsidR="003C394A">
        <w:t>–</w:t>
      </w:r>
      <w:r w:rsidR="00ED72AA" w:rsidRPr="00A85374">
        <w:t xml:space="preserve"> </w:t>
      </w:r>
      <w:r w:rsidR="00A85374">
        <w:t>1067</w:t>
      </w:r>
      <w:r w:rsidR="00ED72AA" w:rsidRPr="00A85374">
        <w:t xml:space="preserve"> квартир)</w:t>
      </w:r>
      <w:r w:rsidR="00453E0C" w:rsidRPr="00A85374">
        <w:t xml:space="preserve">. </w:t>
      </w:r>
      <w:r w:rsidR="00055A4C" w:rsidRPr="00A85374">
        <w:rPr>
          <w:szCs w:val="28"/>
        </w:rPr>
        <w:t xml:space="preserve"> </w:t>
      </w:r>
    </w:p>
    <w:p w:rsidR="006B36DE" w:rsidRPr="00F247A0" w:rsidRDefault="00493B3F" w:rsidP="00670F88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Кроме того, в</w:t>
      </w:r>
      <w:r w:rsidR="00A90136" w:rsidRPr="00A85374">
        <w:rPr>
          <w:sz w:val="28"/>
          <w:szCs w:val="28"/>
        </w:rPr>
        <w:t xml:space="preserve"> 2022 год</w:t>
      </w:r>
      <w:r w:rsidR="00CF2E2E" w:rsidRPr="00A85374">
        <w:rPr>
          <w:sz w:val="28"/>
          <w:szCs w:val="28"/>
        </w:rPr>
        <w:t>у</w:t>
      </w:r>
      <w:r w:rsidR="00A90136" w:rsidRPr="00A85374">
        <w:rPr>
          <w:sz w:val="28"/>
          <w:szCs w:val="28"/>
        </w:rPr>
        <w:t xml:space="preserve"> </w:t>
      </w:r>
      <w:r w:rsidR="00576844" w:rsidRPr="00A85374">
        <w:rPr>
          <w:sz w:val="28"/>
          <w:szCs w:val="28"/>
        </w:rPr>
        <w:t>Министерством отработано</w:t>
      </w:r>
      <w:r w:rsidR="00A90136" w:rsidRPr="00A85374">
        <w:rPr>
          <w:sz w:val="28"/>
          <w:szCs w:val="28"/>
        </w:rPr>
        <w:t xml:space="preserve"> 197 заявлений на выдачу сертификат</w:t>
      </w:r>
      <w:r w:rsidR="008752D4">
        <w:rPr>
          <w:sz w:val="28"/>
          <w:szCs w:val="28"/>
        </w:rPr>
        <w:t>ов</w:t>
      </w:r>
      <w:r w:rsidR="00A90136" w:rsidRPr="00A85374">
        <w:rPr>
          <w:sz w:val="28"/>
          <w:szCs w:val="28"/>
        </w:rPr>
        <w:t>, удостоверяющ</w:t>
      </w:r>
      <w:r w:rsidR="008752D4">
        <w:rPr>
          <w:sz w:val="28"/>
          <w:szCs w:val="28"/>
        </w:rPr>
        <w:t>их</w:t>
      </w:r>
      <w:r w:rsidR="00A90136" w:rsidRPr="00A85374">
        <w:rPr>
          <w:sz w:val="28"/>
          <w:szCs w:val="28"/>
        </w:rPr>
        <w:t xml:space="preserve"> право на получение социальной выплаты для приобретения на территории Кемеровской области </w:t>
      </w:r>
      <w:r w:rsidR="006B36DE" w:rsidRPr="00A85374">
        <w:rPr>
          <w:sz w:val="28"/>
          <w:szCs w:val="28"/>
        </w:rPr>
        <w:t>-</w:t>
      </w:r>
      <w:r w:rsidR="00A90136" w:rsidRPr="00A85374">
        <w:rPr>
          <w:sz w:val="28"/>
          <w:szCs w:val="28"/>
        </w:rPr>
        <w:t xml:space="preserve"> Кузбасса жилого помещения в собственность </w:t>
      </w:r>
      <w:r>
        <w:rPr>
          <w:sz w:val="28"/>
          <w:szCs w:val="28"/>
        </w:rPr>
        <w:t xml:space="preserve">лицам, </w:t>
      </w:r>
      <w:r w:rsidR="00A90136" w:rsidRPr="00A85374">
        <w:rPr>
          <w:sz w:val="28"/>
          <w:szCs w:val="28"/>
        </w:rPr>
        <w:t>достигшим в</w:t>
      </w:r>
      <w:r>
        <w:rPr>
          <w:sz w:val="28"/>
          <w:szCs w:val="28"/>
        </w:rPr>
        <w:t>озраста 23 лет,</w:t>
      </w:r>
      <w:r w:rsidR="00A90136" w:rsidRPr="00A85374">
        <w:rPr>
          <w:sz w:val="28"/>
          <w:szCs w:val="28"/>
        </w:rPr>
        <w:t xml:space="preserve"> ранее относивши</w:t>
      </w:r>
      <w:r w:rsidR="008752D4">
        <w:rPr>
          <w:sz w:val="28"/>
          <w:szCs w:val="28"/>
        </w:rPr>
        <w:t>х</w:t>
      </w:r>
      <w:r w:rsidR="00A90136" w:rsidRPr="00A85374">
        <w:rPr>
          <w:sz w:val="28"/>
          <w:szCs w:val="28"/>
        </w:rPr>
        <w:t xml:space="preserve">ся к категории </w:t>
      </w:r>
      <w:r>
        <w:rPr>
          <w:sz w:val="28"/>
          <w:szCs w:val="28"/>
        </w:rPr>
        <w:t>«</w:t>
      </w:r>
      <w:r w:rsidR="00A90136" w:rsidRPr="00A85374">
        <w:rPr>
          <w:sz w:val="28"/>
          <w:szCs w:val="28"/>
        </w:rPr>
        <w:t>дет</w:t>
      </w:r>
      <w:r>
        <w:rPr>
          <w:sz w:val="28"/>
          <w:szCs w:val="28"/>
        </w:rPr>
        <w:t>и</w:t>
      </w:r>
      <w:r w:rsidR="00A90136" w:rsidRPr="00A85374">
        <w:rPr>
          <w:sz w:val="28"/>
          <w:szCs w:val="28"/>
        </w:rPr>
        <w:t xml:space="preserve"> - сирот</w:t>
      </w:r>
      <w:r>
        <w:rPr>
          <w:sz w:val="28"/>
          <w:szCs w:val="28"/>
        </w:rPr>
        <w:t>ы и дети</w:t>
      </w:r>
      <w:r w:rsidR="00A90136" w:rsidRPr="00A85374">
        <w:rPr>
          <w:sz w:val="28"/>
          <w:szCs w:val="28"/>
        </w:rPr>
        <w:t>, оставши</w:t>
      </w:r>
      <w:r>
        <w:rPr>
          <w:sz w:val="28"/>
          <w:szCs w:val="28"/>
        </w:rPr>
        <w:t>е</w:t>
      </w:r>
      <w:r w:rsidR="00A90136" w:rsidRPr="00A85374">
        <w:rPr>
          <w:sz w:val="28"/>
          <w:szCs w:val="28"/>
        </w:rPr>
        <w:t>ся без попечения родителей, лиц</w:t>
      </w:r>
      <w:r>
        <w:rPr>
          <w:sz w:val="28"/>
          <w:szCs w:val="28"/>
        </w:rPr>
        <w:t>а</w:t>
      </w:r>
      <w:r w:rsidR="00A90136" w:rsidRPr="00A85374">
        <w:rPr>
          <w:sz w:val="28"/>
          <w:szCs w:val="28"/>
        </w:rPr>
        <w:t xml:space="preserve"> из числа </w:t>
      </w:r>
      <w:r>
        <w:rPr>
          <w:sz w:val="28"/>
          <w:szCs w:val="28"/>
        </w:rPr>
        <w:t xml:space="preserve">«детей - </w:t>
      </w:r>
      <w:r w:rsidR="00A90136" w:rsidRPr="00A85374">
        <w:rPr>
          <w:sz w:val="28"/>
          <w:szCs w:val="28"/>
        </w:rPr>
        <w:t>сирот, оставшихся без попечения родителей</w:t>
      </w:r>
      <w:r>
        <w:rPr>
          <w:sz w:val="28"/>
          <w:szCs w:val="28"/>
        </w:rPr>
        <w:t>»</w:t>
      </w:r>
      <w:r w:rsidR="006B36DE" w:rsidRPr="00A85374">
        <w:rPr>
          <w:sz w:val="28"/>
          <w:szCs w:val="28"/>
        </w:rPr>
        <w:t>, в с</w:t>
      </w:r>
      <w:r w:rsidR="006B36DE" w:rsidRPr="00F247A0">
        <w:rPr>
          <w:color w:val="333333"/>
          <w:sz w:val="28"/>
          <w:szCs w:val="28"/>
          <w:shd w:val="clear" w:color="auto" w:fill="FFFFFF"/>
        </w:rPr>
        <w:t>оответствии</w:t>
      </w:r>
      <w:r w:rsidR="006B36DE" w:rsidRPr="00A85374">
        <w:rPr>
          <w:sz w:val="28"/>
          <w:szCs w:val="28"/>
        </w:rPr>
        <w:t xml:space="preserve"> с Законом Кемеровской</w:t>
      </w:r>
      <w:proofErr w:type="gramEnd"/>
      <w:r w:rsidR="006B36DE" w:rsidRPr="00A85374">
        <w:rPr>
          <w:sz w:val="28"/>
          <w:szCs w:val="28"/>
        </w:rPr>
        <w:t xml:space="preserve"> области - Кузбасса от 15.10.2021 № 98-ОЗ</w:t>
      </w:r>
      <w:r w:rsidR="00F247A0">
        <w:rPr>
          <w:sz w:val="28"/>
          <w:szCs w:val="28"/>
        </w:rPr>
        <w:t xml:space="preserve"> </w:t>
      </w:r>
      <w:r w:rsidR="00F247A0" w:rsidRPr="00F247A0">
        <w:rPr>
          <w:sz w:val="28"/>
          <w:szCs w:val="28"/>
          <w:shd w:val="clear" w:color="auto" w:fill="FFFFFF"/>
        </w:rPr>
        <w:t>«О дополнительной мере социальной поддержки лиц, ранее относившихся к числу детей-сирот и детей, оставшихся без попечения родителей, нуждающихся в обеспечении жильем»</w:t>
      </w:r>
      <w:r w:rsidR="006B36DE" w:rsidRPr="00F247A0">
        <w:rPr>
          <w:sz w:val="28"/>
          <w:szCs w:val="28"/>
          <w:shd w:val="clear" w:color="auto" w:fill="FFFFFF"/>
        </w:rPr>
        <w:t xml:space="preserve">. </w:t>
      </w:r>
    </w:p>
    <w:p w:rsidR="00A90136" w:rsidRPr="00A85374" w:rsidRDefault="006B36DE" w:rsidP="00670F88">
      <w:pPr>
        <w:ind w:firstLine="709"/>
        <w:jc w:val="both"/>
        <w:rPr>
          <w:sz w:val="28"/>
          <w:szCs w:val="28"/>
        </w:rPr>
      </w:pPr>
      <w:r w:rsidRPr="00A85374">
        <w:rPr>
          <w:sz w:val="28"/>
          <w:szCs w:val="28"/>
        </w:rPr>
        <w:t>П</w:t>
      </w:r>
      <w:r w:rsidR="00A90136" w:rsidRPr="00A85374">
        <w:rPr>
          <w:sz w:val="28"/>
          <w:szCs w:val="28"/>
        </w:rPr>
        <w:t>о состоянию на 3</w:t>
      </w:r>
      <w:r w:rsidR="001A054A" w:rsidRPr="00A85374">
        <w:rPr>
          <w:sz w:val="28"/>
          <w:szCs w:val="28"/>
        </w:rPr>
        <w:t>1</w:t>
      </w:r>
      <w:r w:rsidR="00A90136" w:rsidRPr="00A85374">
        <w:rPr>
          <w:sz w:val="28"/>
          <w:szCs w:val="28"/>
        </w:rPr>
        <w:t>.</w:t>
      </w:r>
      <w:r w:rsidR="001A054A" w:rsidRPr="00A85374">
        <w:rPr>
          <w:sz w:val="28"/>
          <w:szCs w:val="28"/>
        </w:rPr>
        <w:t>12</w:t>
      </w:r>
      <w:r w:rsidR="00A90136" w:rsidRPr="00A85374">
        <w:rPr>
          <w:sz w:val="28"/>
          <w:szCs w:val="28"/>
        </w:rPr>
        <w:t xml:space="preserve">.2022 </w:t>
      </w:r>
      <w:r w:rsidR="00387BCC">
        <w:rPr>
          <w:sz w:val="28"/>
          <w:szCs w:val="28"/>
        </w:rPr>
        <w:t xml:space="preserve">для данной категории граждан </w:t>
      </w:r>
      <w:r w:rsidR="008752D4" w:rsidRPr="00A85374">
        <w:rPr>
          <w:sz w:val="28"/>
          <w:szCs w:val="28"/>
        </w:rPr>
        <w:t xml:space="preserve">куплено </w:t>
      </w:r>
      <w:r w:rsidR="008752D4">
        <w:rPr>
          <w:sz w:val="28"/>
          <w:szCs w:val="28"/>
        </w:rPr>
        <w:t xml:space="preserve">                    117</w:t>
      </w:r>
      <w:r w:rsidR="008752D4" w:rsidRPr="00A85374">
        <w:rPr>
          <w:sz w:val="28"/>
          <w:szCs w:val="28"/>
        </w:rPr>
        <w:t xml:space="preserve"> квартир</w:t>
      </w:r>
      <w:r w:rsidR="008752D4">
        <w:rPr>
          <w:sz w:val="28"/>
          <w:szCs w:val="28"/>
        </w:rPr>
        <w:t xml:space="preserve"> </w:t>
      </w:r>
      <w:r w:rsidR="00A85374">
        <w:rPr>
          <w:sz w:val="28"/>
          <w:szCs w:val="28"/>
        </w:rPr>
        <w:t>на общую сумму 165 712,6 тыс</w:t>
      </w:r>
      <w:r w:rsidR="00387BCC">
        <w:rPr>
          <w:sz w:val="28"/>
          <w:szCs w:val="28"/>
        </w:rPr>
        <w:t>яч</w:t>
      </w:r>
      <w:r w:rsidR="00A85374">
        <w:rPr>
          <w:sz w:val="28"/>
          <w:szCs w:val="28"/>
        </w:rPr>
        <w:t xml:space="preserve"> рублей</w:t>
      </w:r>
      <w:r w:rsidRPr="00A85374">
        <w:rPr>
          <w:sz w:val="28"/>
          <w:szCs w:val="28"/>
        </w:rPr>
        <w:t xml:space="preserve">, выдано </w:t>
      </w:r>
      <w:r w:rsidR="00A85374">
        <w:rPr>
          <w:sz w:val="28"/>
          <w:szCs w:val="28"/>
        </w:rPr>
        <w:t>122</w:t>
      </w:r>
      <w:r w:rsidRPr="00A85374">
        <w:rPr>
          <w:sz w:val="28"/>
          <w:szCs w:val="28"/>
        </w:rPr>
        <w:t xml:space="preserve"> сертификат</w:t>
      </w:r>
      <w:r w:rsidR="00A85374">
        <w:rPr>
          <w:sz w:val="28"/>
          <w:szCs w:val="28"/>
        </w:rPr>
        <w:t>а</w:t>
      </w:r>
      <w:r w:rsidR="00A90136" w:rsidRPr="00A85374">
        <w:rPr>
          <w:sz w:val="28"/>
          <w:szCs w:val="28"/>
        </w:rPr>
        <w:t xml:space="preserve"> на общую сумму </w:t>
      </w:r>
      <w:r w:rsidR="00493B3F">
        <w:rPr>
          <w:sz w:val="28"/>
          <w:szCs w:val="28"/>
        </w:rPr>
        <w:t>173 911,6</w:t>
      </w:r>
      <w:r w:rsidR="00A85374">
        <w:rPr>
          <w:sz w:val="28"/>
          <w:szCs w:val="28"/>
        </w:rPr>
        <w:t xml:space="preserve"> тыс</w:t>
      </w:r>
      <w:r w:rsidR="00387BCC">
        <w:rPr>
          <w:sz w:val="28"/>
          <w:szCs w:val="28"/>
        </w:rPr>
        <w:t>яч</w:t>
      </w:r>
      <w:r w:rsidR="00A90136" w:rsidRPr="00A85374">
        <w:rPr>
          <w:sz w:val="28"/>
          <w:szCs w:val="28"/>
        </w:rPr>
        <w:t xml:space="preserve"> рубл</w:t>
      </w:r>
      <w:r w:rsidR="00A85374">
        <w:rPr>
          <w:sz w:val="28"/>
          <w:szCs w:val="28"/>
        </w:rPr>
        <w:t>ей</w:t>
      </w:r>
      <w:r w:rsidR="00387BCC">
        <w:rPr>
          <w:sz w:val="28"/>
          <w:szCs w:val="28"/>
        </w:rPr>
        <w:t xml:space="preserve"> </w:t>
      </w:r>
      <w:r w:rsidR="00493B3F">
        <w:rPr>
          <w:sz w:val="28"/>
          <w:szCs w:val="28"/>
        </w:rPr>
        <w:t>из средств областного</w:t>
      </w:r>
      <w:r w:rsidRPr="00A85374">
        <w:rPr>
          <w:sz w:val="28"/>
          <w:szCs w:val="28"/>
        </w:rPr>
        <w:t xml:space="preserve"> бюджет</w:t>
      </w:r>
      <w:r w:rsidR="00493B3F">
        <w:rPr>
          <w:sz w:val="28"/>
          <w:szCs w:val="28"/>
        </w:rPr>
        <w:t>а</w:t>
      </w:r>
      <w:r w:rsidR="00A90136" w:rsidRPr="00A85374">
        <w:rPr>
          <w:sz w:val="28"/>
          <w:szCs w:val="28"/>
        </w:rPr>
        <w:t>.</w:t>
      </w:r>
      <w:r w:rsidRPr="00A85374">
        <w:rPr>
          <w:sz w:val="28"/>
          <w:szCs w:val="28"/>
        </w:rPr>
        <w:t xml:space="preserve"> </w:t>
      </w:r>
    </w:p>
    <w:p w:rsidR="00273FB0" w:rsidRDefault="00A70B05" w:rsidP="00670F88">
      <w:pPr>
        <w:pStyle w:val="BodySingle"/>
        <w:ind w:firstLine="720"/>
        <w:jc w:val="both"/>
        <w:rPr>
          <w:color w:val="auto"/>
        </w:rPr>
      </w:pPr>
      <w:r w:rsidRPr="00A85374">
        <w:rPr>
          <w:color w:val="auto"/>
        </w:rPr>
        <w:t>В</w:t>
      </w:r>
      <w:r w:rsidR="000658A0" w:rsidRPr="00A85374">
        <w:rPr>
          <w:color w:val="auto"/>
        </w:rPr>
        <w:t xml:space="preserve"> 202</w:t>
      </w:r>
      <w:r w:rsidR="00E4573E" w:rsidRPr="00A85374">
        <w:rPr>
          <w:color w:val="auto"/>
        </w:rPr>
        <w:t>2</w:t>
      </w:r>
      <w:r w:rsidR="001A054A" w:rsidRPr="00A85374">
        <w:rPr>
          <w:color w:val="auto"/>
        </w:rPr>
        <w:t xml:space="preserve"> году</w:t>
      </w:r>
      <w:r w:rsidRPr="00A85374">
        <w:rPr>
          <w:color w:val="auto"/>
        </w:rPr>
        <w:t xml:space="preserve"> </w:t>
      </w:r>
      <w:r w:rsidR="005E0CF7" w:rsidRPr="00A85374">
        <w:rPr>
          <w:color w:val="auto"/>
        </w:rPr>
        <w:t>в М</w:t>
      </w:r>
      <w:r w:rsidRPr="00A85374">
        <w:rPr>
          <w:color w:val="auto"/>
        </w:rPr>
        <w:t xml:space="preserve">инистерстве </w:t>
      </w:r>
      <w:r w:rsidR="005E0CF7" w:rsidRPr="00A85374">
        <w:rPr>
          <w:color w:val="auto"/>
        </w:rPr>
        <w:t>было организовано</w:t>
      </w:r>
      <w:r w:rsidR="005E0CF7" w:rsidRPr="00A44DF0">
        <w:rPr>
          <w:color w:val="auto"/>
        </w:rPr>
        <w:t xml:space="preserve"> </w:t>
      </w:r>
      <w:r w:rsidR="00A92B74" w:rsidRPr="001A37CD">
        <w:rPr>
          <w:b/>
          <w:color w:val="auto"/>
        </w:rPr>
        <w:t>3</w:t>
      </w:r>
      <w:r w:rsidR="00273FB0">
        <w:rPr>
          <w:b/>
          <w:color w:val="auto"/>
        </w:rPr>
        <w:t xml:space="preserve"> </w:t>
      </w:r>
      <w:r w:rsidRPr="00A44DF0">
        <w:rPr>
          <w:color w:val="auto"/>
        </w:rPr>
        <w:t>«прямы</w:t>
      </w:r>
      <w:r w:rsidR="00493B3F">
        <w:rPr>
          <w:color w:val="auto"/>
        </w:rPr>
        <w:t>е линии</w:t>
      </w:r>
      <w:r w:rsidRPr="00A44DF0">
        <w:rPr>
          <w:color w:val="auto"/>
        </w:rPr>
        <w:t xml:space="preserve">», в ходе которых поступило </w:t>
      </w:r>
      <w:r w:rsidR="00A92B74">
        <w:rPr>
          <w:b/>
          <w:color w:val="auto"/>
        </w:rPr>
        <w:t>5</w:t>
      </w:r>
      <w:r w:rsidR="005E0CF7" w:rsidRPr="00A44DF0">
        <w:rPr>
          <w:color w:val="auto"/>
        </w:rPr>
        <w:t xml:space="preserve"> </w:t>
      </w:r>
      <w:r w:rsidR="00742E6C">
        <w:rPr>
          <w:color w:val="auto"/>
        </w:rPr>
        <w:t>об</w:t>
      </w:r>
      <w:r w:rsidR="00753301">
        <w:rPr>
          <w:color w:val="auto"/>
        </w:rPr>
        <w:t>ра</w:t>
      </w:r>
      <w:r w:rsidR="00742E6C">
        <w:rPr>
          <w:color w:val="auto"/>
        </w:rPr>
        <w:t>щений</w:t>
      </w:r>
      <w:r w:rsidR="00252051">
        <w:rPr>
          <w:color w:val="auto"/>
        </w:rPr>
        <w:t xml:space="preserve"> по вопрос</w:t>
      </w:r>
      <w:r w:rsidR="000658A0">
        <w:rPr>
          <w:color w:val="auto"/>
        </w:rPr>
        <w:t>ам</w:t>
      </w:r>
      <w:r w:rsidRPr="00A44DF0">
        <w:rPr>
          <w:color w:val="auto"/>
        </w:rPr>
        <w:t xml:space="preserve"> </w:t>
      </w:r>
      <w:r w:rsidR="00E5009B">
        <w:rPr>
          <w:color w:val="auto"/>
        </w:rPr>
        <w:t>с</w:t>
      </w:r>
      <w:r w:rsidR="00E5009B" w:rsidRPr="00E5009B">
        <w:rPr>
          <w:color w:val="auto"/>
        </w:rPr>
        <w:t>озда</w:t>
      </w:r>
      <w:r w:rsidR="00E5009B">
        <w:rPr>
          <w:color w:val="auto"/>
        </w:rPr>
        <w:t>ни</w:t>
      </w:r>
      <w:r w:rsidR="00387BCC">
        <w:rPr>
          <w:color w:val="auto"/>
        </w:rPr>
        <w:t>я</w:t>
      </w:r>
      <w:r w:rsidR="00E5009B" w:rsidRPr="00E5009B">
        <w:rPr>
          <w:color w:val="auto"/>
        </w:rPr>
        <w:t xml:space="preserve"> един</w:t>
      </w:r>
      <w:r w:rsidR="00E5009B">
        <w:rPr>
          <w:color w:val="auto"/>
        </w:rPr>
        <w:t>ой</w:t>
      </w:r>
      <w:r w:rsidR="00E5009B" w:rsidRPr="00E5009B">
        <w:rPr>
          <w:color w:val="auto"/>
        </w:rPr>
        <w:t xml:space="preserve"> информационн</w:t>
      </w:r>
      <w:r w:rsidR="00E5009B">
        <w:rPr>
          <w:color w:val="auto"/>
        </w:rPr>
        <w:t>ой</w:t>
      </w:r>
      <w:r w:rsidR="00E5009B" w:rsidRPr="00E5009B">
        <w:rPr>
          <w:color w:val="auto"/>
        </w:rPr>
        <w:t xml:space="preserve"> систем</w:t>
      </w:r>
      <w:r w:rsidR="00E5009B">
        <w:rPr>
          <w:color w:val="auto"/>
        </w:rPr>
        <w:t>ы</w:t>
      </w:r>
      <w:r w:rsidR="00E5009B" w:rsidRPr="00E5009B">
        <w:rPr>
          <w:color w:val="auto"/>
        </w:rPr>
        <w:t xml:space="preserve"> для учителей</w:t>
      </w:r>
      <w:r w:rsidR="008752D4">
        <w:rPr>
          <w:color w:val="auto"/>
        </w:rPr>
        <w:t>;</w:t>
      </w:r>
      <w:r w:rsidR="00E5009B" w:rsidRPr="00E5009B">
        <w:rPr>
          <w:color w:val="auto"/>
        </w:rPr>
        <w:t xml:space="preserve"> </w:t>
      </w:r>
      <w:r w:rsidR="00DE4D5D" w:rsidRPr="00DE4D5D">
        <w:rPr>
          <w:color w:val="auto"/>
        </w:rPr>
        <w:t xml:space="preserve">духовно-нравственного воспитания и образования </w:t>
      </w:r>
      <w:r w:rsidR="00C00AEF">
        <w:rPr>
          <w:color w:val="auto"/>
        </w:rPr>
        <w:t>«</w:t>
      </w:r>
      <w:r w:rsidR="00DE4D5D" w:rsidRPr="00DE4D5D">
        <w:rPr>
          <w:color w:val="auto"/>
        </w:rPr>
        <w:t>Социокультурные истоки</w:t>
      </w:r>
      <w:r w:rsidR="00C00AEF">
        <w:rPr>
          <w:color w:val="auto"/>
        </w:rPr>
        <w:t>»</w:t>
      </w:r>
      <w:r w:rsidR="00DE4D5D" w:rsidRPr="00DE4D5D">
        <w:rPr>
          <w:color w:val="auto"/>
        </w:rPr>
        <w:t xml:space="preserve"> в Кузбассе</w:t>
      </w:r>
      <w:r w:rsidR="00DE4D5D">
        <w:rPr>
          <w:color w:val="auto"/>
        </w:rPr>
        <w:t>; о</w:t>
      </w:r>
      <w:r w:rsidR="00DE4D5D" w:rsidRPr="00DE4D5D">
        <w:rPr>
          <w:color w:val="auto"/>
        </w:rPr>
        <w:t>пек</w:t>
      </w:r>
      <w:r w:rsidR="00DE4D5D">
        <w:rPr>
          <w:color w:val="auto"/>
        </w:rPr>
        <w:t>и</w:t>
      </w:r>
      <w:r w:rsidR="00DE4D5D" w:rsidRPr="00DE4D5D">
        <w:rPr>
          <w:color w:val="auto"/>
        </w:rPr>
        <w:t xml:space="preserve"> и попечительств</w:t>
      </w:r>
      <w:r w:rsidR="00DE4D5D">
        <w:rPr>
          <w:color w:val="auto"/>
        </w:rPr>
        <w:t>а</w:t>
      </w:r>
      <w:r w:rsidR="008752D4">
        <w:rPr>
          <w:color w:val="auto"/>
        </w:rPr>
        <w:t>;</w:t>
      </w:r>
      <w:r w:rsidR="00DE4D5D" w:rsidRPr="00DE4D5D">
        <w:rPr>
          <w:color w:val="auto"/>
        </w:rPr>
        <w:t xml:space="preserve"> </w:t>
      </w:r>
      <w:r w:rsidR="00387BCC">
        <w:rPr>
          <w:color w:val="auto"/>
        </w:rPr>
        <w:t>деятельности летних оздоровительных</w:t>
      </w:r>
      <w:r w:rsidR="00DE4D5D" w:rsidRPr="00DE4D5D">
        <w:rPr>
          <w:color w:val="auto"/>
        </w:rPr>
        <w:t xml:space="preserve"> лагерей и занятости детей и подростков</w:t>
      </w:r>
      <w:r w:rsidR="00E5009B" w:rsidRPr="00E5009B">
        <w:rPr>
          <w:color w:val="auto"/>
        </w:rPr>
        <w:t>.</w:t>
      </w:r>
      <w:r w:rsidR="00387BCC">
        <w:rPr>
          <w:color w:val="auto"/>
        </w:rPr>
        <w:t xml:space="preserve"> По всем обращениям приняты меры и даны ответы.</w:t>
      </w:r>
    </w:p>
    <w:p w:rsidR="00BF5834" w:rsidRPr="006954F2" w:rsidRDefault="00A60EF6" w:rsidP="00670F88">
      <w:pPr>
        <w:pStyle w:val="BodySingle"/>
        <w:ind w:firstLine="720"/>
        <w:jc w:val="both"/>
        <w:rPr>
          <w:color w:val="auto"/>
        </w:rPr>
      </w:pPr>
      <w:r>
        <w:t xml:space="preserve">Непосредственно министром образования Кузбасса </w:t>
      </w:r>
      <w:r w:rsidR="00A70B05" w:rsidRPr="005C49ED">
        <w:t xml:space="preserve">проведено </w:t>
      </w:r>
      <w:r w:rsidR="005C49ED" w:rsidRPr="001A37CD">
        <w:rPr>
          <w:b/>
        </w:rPr>
        <w:t>7</w:t>
      </w:r>
      <w:r w:rsidR="00A70B05" w:rsidRPr="005C49ED">
        <w:t xml:space="preserve"> </w:t>
      </w:r>
      <w:r w:rsidR="000658A0" w:rsidRPr="005C49ED">
        <w:t>«</w:t>
      </w:r>
      <w:r w:rsidR="00A70B05" w:rsidRPr="005C49ED">
        <w:t>личных прием</w:t>
      </w:r>
      <w:r>
        <w:t>ов</w:t>
      </w:r>
      <w:r w:rsidR="00A70B05" w:rsidRPr="005C49ED">
        <w:t xml:space="preserve"> граждан</w:t>
      </w:r>
      <w:r w:rsidR="000658A0" w:rsidRPr="005C49ED">
        <w:t>»</w:t>
      </w:r>
      <w:r>
        <w:t>,</w:t>
      </w:r>
      <w:r w:rsidR="00576844">
        <w:t xml:space="preserve"> в ходе которых принято и решено </w:t>
      </w:r>
      <w:r w:rsidR="00A92B74" w:rsidRPr="001A37CD">
        <w:rPr>
          <w:b/>
        </w:rPr>
        <w:t>7</w:t>
      </w:r>
      <w:r w:rsidR="00576844">
        <w:t xml:space="preserve"> вопросов.</w:t>
      </w:r>
      <w:r>
        <w:t xml:space="preserve"> </w:t>
      </w:r>
      <w:r w:rsidR="00BF5834">
        <w:rPr>
          <w:color w:val="auto"/>
        </w:rPr>
        <w:t>Все о</w:t>
      </w:r>
      <w:r w:rsidR="00BF5834" w:rsidRPr="00356361">
        <w:rPr>
          <w:color w:val="auto"/>
        </w:rPr>
        <w:t>бращения рассмотрены</w:t>
      </w:r>
      <w:r w:rsidR="008639E4">
        <w:rPr>
          <w:color w:val="auto"/>
        </w:rPr>
        <w:t xml:space="preserve"> в установленные законодательством сроки, фактов </w:t>
      </w:r>
      <w:proofErr w:type="gramStart"/>
      <w:r w:rsidR="008639E4">
        <w:rPr>
          <w:color w:val="auto"/>
        </w:rPr>
        <w:t>нарушени</w:t>
      </w:r>
      <w:r w:rsidR="006D08FC">
        <w:rPr>
          <w:color w:val="auto"/>
        </w:rPr>
        <w:t>я</w:t>
      </w:r>
      <w:r w:rsidR="008639E4">
        <w:rPr>
          <w:color w:val="auto"/>
        </w:rPr>
        <w:t xml:space="preserve"> порядка рассмотрения обращени</w:t>
      </w:r>
      <w:r w:rsidR="008752D4">
        <w:rPr>
          <w:color w:val="auto"/>
        </w:rPr>
        <w:t>й</w:t>
      </w:r>
      <w:r w:rsidR="008639E4">
        <w:rPr>
          <w:color w:val="auto"/>
        </w:rPr>
        <w:t xml:space="preserve"> граждан</w:t>
      </w:r>
      <w:proofErr w:type="gramEnd"/>
      <w:r w:rsidR="008639E4">
        <w:rPr>
          <w:color w:val="auto"/>
        </w:rPr>
        <w:t xml:space="preserve"> не зафиксировано</w:t>
      </w:r>
      <w:r w:rsidR="00BF5834">
        <w:rPr>
          <w:color w:val="auto"/>
        </w:rPr>
        <w:t xml:space="preserve">, вопросы </w:t>
      </w:r>
      <w:r w:rsidR="00BF5834" w:rsidRPr="00356361">
        <w:rPr>
          <w:color w:val="auto"/>
        </w:rPr>
        <w:t>решены положительно</w:t>
      </w:r>
      <w:r w:rsidR="00BF5834">
        <w:rPr>
          <w:color w:val="auto"/>
        </w:rPr>
        <w:t xml:space="preserve">, заявителям </w:t>
      </w:r>
      <w:r w:rsidR="00BF5834" w:rsidRPr="006954F2">
        <w:rPr>
          <w:color w:val="auto"/>
        </w:rPr>
        <w:t>своевременно направлены письменные ответы.</w:t>
      </w:r>
    </w:p>
    <w:p w:rsidR="00B871CC" w:rsidRDefault="00387BCC" w:rsidP="00670F88">
      <w:pPr>
        <w:pStyle w:val="BodySingle"/>
        <w:ind w:firstLine="709"/>
        <w:jc w:val="both"/>
        <w:rPr>
          <w:color w:val="auto"/>
        </w:rPr>
      </w:pPr>
      <w:r>
        <w:rPr>
          <w:color w:val="auto"/>
        </w:rPr>
        <w:t xml:space="preserve">В </w:t>
      </w:r>
      <w:r w:rsidR="00A70B05" w:rsidRPr="006954F2">
        <w:rPr>
          <w:color w:val="auto"/>
        </w:rPr>
        <w:t>202</w:t>
      </w:r>
      <w:r w:rsidR="00CE2D99">
        <w:rPr>
          <w:color w:val="auto"/>
        </w:rPr>
        <w:t>2</w:t>
      </w:r>
      <w:r w:rsidR="00A70B05" w:rsidRPr="006954F2">
        <w:rPr>
          <w:color w:val="auto"/>
        </w:rPr>
        <w:t xml:space="preserve"> год</w:t>
      </w:r>
      <w:r>
        <w:rPr>
          <w:color w:val="auto"/>
        </w:rPr>
        <w:t>у</w:t>
      </w:r>
      <w:r w:rsidR="00A70B05" w:rsidRPr="006954F2">
        <w:rPr>
          <w:color w:val="auto"/>
        </w:rPr>
        <w:t xml:space="preserve"> специалистами </w:t>
      </w:r>
      <w:r w:rsidR="000658A0" w:rsidRPr="006954F2">
        <w:rPr>
          <w:color w:val="auto"/>
        </w:rPr>
        <w:t>М</w:t>
      </w:r>
      <w:r w:rsidR="00A70B05" w:rsidRPr="006954F2">
        <w:rPr>
          <w:color w:val="auto"/>
        </w:rPr>
        <w:t>инистерства изучено мнение</w:t>
      </w:r>
      <w:r w:rsidR="00273FB0">
        <w:rPr>
          <w:color w:val="auto"/>
        </w:rPr>
        <w:t xml:space="preserve"> 2396</w:t>
      </w:r>
      <w:r w:rsidR="00ED07C9" w:rsidRPr="00ED07C9">
        <w:rPr>
          <w:color w:val="auto"/>
        </w:rPr>
        <w:t xml:space="preserve"> </w:t>
      </w:r>
      <w:r w:rsidR="00A70B05" w:rsidRPr="006954F2">
        <w:rPr>
          <w:color w:val="auto"/>
        </w:rPr>
        <w:t>заявителей</w:t>
      </w:r>
      <w:r>
        <w:rPr>
          <w:color w:val="auto"/>
        </w:rPr>
        <w:t xml:space="preserve"> (что составило 90% от общего количества обращений)</w:t>
      </w:r>
      <w:r w:rsidR="00A70B05" w:rsidRPr="006954F2">
        <w:rPr>
          <w:color w:val="auto"/>
        </w:rPr>
        <w:t xml:space="preserve">, из них: </w:t>
      </w:r>
      <w:r>
        <w:rPr>
          <w:color w:val="auto"/>
        </w:rPr>
        <w:t xml:space="preserve">                          </w:t>
      </w:r>
      <w:r w:rsidR="00273FB0">
        <w:rPr>
          <w:color w:val="auto"/>
        </w:rPr>
        <w:t>1575</w:t>
      </w:r>
      <w:r w:rsidR="00553585" w:rsidRPr="006954F2">
        <w:rPr>
          <w:color w:val="auto"/>
        </w:rPr>
        <w:t xml:space="preserve"> </w:t>
      </w:r>
      <w:r w:rsidR="000658A0" w:rsidRPr="006954F2">
        <w:rPr>
          <w:color w:val="auto"/>
        </w:rPr>
        <w:t xml:space="preserve">человек </w:t>
      </w:r>
      <w:r w:rsidR="00B871CC">
        <w:rPr>
          <w:color w:val="auto"/>
        </w:rPr>
        <w:t>–</w:t>
      </w:r>
      <w:r w:rsidR="00A70B05" w:rsidRPr="006954F2">
        <w:rPr>
          <w:color w:val="auto"/>
        </w:rPr>
        <w:t xml:space="preserve"> полностью удовлетворены полученными ответами, </w:t>
      </w:r>
      <w:r w:rsidR="00273FB0">
        <w:rPr>
          <w:color w:val="auto"/>
        </w:rPr>
        <w:t>727</w:t>
      </w:r>
      <w:r w:rsidR="00D16532" w:rsidRPr="006954F2">
        <w:rPr>
          <w:color w:val="auto"/>
        </w:rPr>
        <w:t xml:space="preserve"> </w:t>
      </w:r>
      <w:r w:rsidR="00A70B05" w:rsidRPr="006954F2">
        <w:rPr>
          <w:color w:val="auto"/>
        </w:rPr>
        <w:t xml:space="preserve">человек </w:t>
      </w:r>
      <w:r w:rsidR="00B871CC">
        <w:rPr>
          <w:color w:val="auto"/>
        </w:rPr>
        <w:t>–</w:t>
      </w:r>
    </w:p>
    <w:p w:rsidR="00A70B05" w:rsidRPr="006954F2" w:rsidRDefault="00A70B05" w:rsidP="00670F88">
      <w:pPr>
        <w:pStyle w:val="BodySingle"/>
        <w:jc w:val="both"/>
        <w:rPr>
          <w:color w:val="auto"/>
        </w:rPr>
      </w:pPr>
      <w:proofErr w:type="gramStart"/>
      <w:r w:rsidRPr="006954F2">
        <w:rPr>
          <w:color w:val="auto"/>
        </w:rPr>
        <w:t>удовлетворены</w:t>
      </w:r>
      <w:proofErr w:type="gramEnd"/>
      <w:r w:rsidRPr="006954F2">
        <w:rPr>
          <w:color w:val="auto"/>
        </w:rPr>
        <w:t xml:space="preserve"> </w:t>
      </w:r>
      <w:r w:rsidR="00252F1C" w:rsidRPr="006954F2">
        <w:rPr>
          <w:color w:val="auto"/>
        </w:rPr>
        <w:t xml:space="preserve">частично, </w:t>
      </w:r>
      <w:r w:rsidR="001A054A">
        <w:rPr>
          <w:color w:val="auto"/>
        </w:rPr>
        <w:t>94</w:t>
      </w:r>
      <w:r w:rsidR="00252051" w:rsidRPr="006954F2">
        <w:rPr>
          <w:color w:val="auto"/>
        </w:rPr>
        <w:t xml:space="preserve"> человек</w:t>
      </w:r>
      <w:r w:rsidR="00387BCC">
        <w:rPr>
          <w:color w:val="auto"/>
        </w:rPr>
        <w:t>а</w:t>
      </w:r>
      <w:r w:rsidR="00252051" w:rsidRPr="006954F2">
        <w:rPr>
          <w:color w:val="auto"/>
        </w:rPr>
        <w:t xml:space="preserve"> </w:t>
      </w:r>
      <w:r w:rsidR="00B871CC">
        <w:rPr>
          <w:color w:val="auto"/>
        </w:rPr>
        <w:t>–</w:t>
      </w:r>
      <w:r w:rsidR="00252051" w:rsidRPr="006954F2">
        <w:rPr>
          <w:color w:val="auto"/>
        </w:rPr>
        <w:t xml:space="preserve"> не удовлетворен полученным</w:t>
      </w:r>
      <w:r w:rsidR="000658A0" w:rsidRPr="006954F2">
        <w:rPr>
          <w:color w:val="auto"/>
        </w:rPr>
        <w:t>и</w:t>
      </w:r>
      <w:r w:rsidRPr="006954F2">
        <w:rPr>
          <w:color w:val="auto"/>
        </w:rPr>
        <w:t xml:space="preserve"> ответ</w:t>
      </w:r>
      <w:r w:rsidR="000658A0" w:rsidRPr="006954F2">
        <w:rPr>
          <w:color w:val="auto"/>
        </w:rPr>
        <w:t>ами</w:t>
      </w:r>
      <w:r w:rsidRPr="006954F2">
        <w:rPr>
          <w:color w:val="auto"/>
        </w:rPr>
        <w:t>.</w:t>
      </w:r>
      <w:r w:rsidR="00E97C3E" w:rsidRPr="006954F2">
        <w:rPr>
          <w:color w:val="auto"/>
        </w:rPr>
        <w:t xml:space="preserve"> </w:t>
      </w:r>
    </w:p>
    <w:p w:rsidR="00FE23D8" w:rsidRDefault="00FE23D8" w:rsidP="00670F88">
      <w:pPr>
        <w:pStyle w:val="BodySingle"/>
        <w:ind w:firstLine="709"/>
        <w:jc w:val="both"/>
        <w:rPr>
          <w:color w:val="auto"/>
        </w:rPr>
      </w:pPr>
      <w:bookmarkStart w:id="0" w:name="_GoBack"/>
      <w:bookmarkEnd w:id="0"/>
    </w:p>
    <w:p w:rsidR="00A05832" w:rsidRPr="00D22FB4" w:rsidRDefault="00A05832" w:rsidP="00670F88">
      <w:pPr>
        <w:pStyle w:val="a3"/>
        <w:ind w:firstLine="0"/>
      </w:pPr>
    </w:p>
    <w:sectPr w:rsidR="00A05832" w:rsidRPr="00D22FB4" w:rsidSect="00A01801">
      <w:headerReference w:type="even" r:id="rId14"/>
      <w:headerReference w:type="default" r:id="rId15"/>
      <w:pgSz w:w="11905" w:h="16838"/>
      <w:pgMar w:top="1135" w:right="851" w:bottom="709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B1" w:rsidRDefault="00A54DB1">
      <w:r>
        <w:separator/>
      </w:r>
    </w:p>
  </w:endnote>
  <w:endnote w:type="continuationSeparator" w:id="0">
    <w:p w:rsidR="00A54DB1" w:rsidRDefault="00A5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B1" w:rsidRDefault="00A54DB1">
      <w:r>
        <w:separator/>
      </w:r>
    </w:p>
  </w:footnote>
  <w:footnote w:type="continuationSeparator" w:id="0">
    <w:p w:rsidR="00A54DB1" w:rsidRDefault="00A54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35" w:rsidRDefault="00C96A35" w:rsidP="008105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6A35" w:rsidRDefault="00C96A35" w:rsidP="0081059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35" w:rsidRDefault="00C96A35" w:rsidP="008105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0F88">
      <w:rPr>
        <w:rStyle w:val="a5"/>
        <w:noProof/>
      </w:rPr>
      <w:t>2</w:t>
    </w:r>
    <w:r>
      <w:rPr>
        <w:rStyle w:val="a5"/>
      </w:rPr>
      <w:fldChar w:fldCharType="end"/>
    </w:r>
  </w:p>
  <w:p w:rsidR="00C96A35" w:rsidRDefault="00C96A35" w:rsidP="0081059B">
    <w:pPr>
      <w:pStyle w:val="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4733"/>
    <w:multiLevelType w:val="hybridMultilevel"/>
    <w:tmpl w:val="DA0CA58A"/>
    <w:lvl w:ilvl="0" w:tplc="B3CE7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786A1F"/>
    <w:multiLevelType w:val="hybridMultilevel"/>
    <w:tmpl w:val="E9089182"/>
    <w:lvl w:ilvl="0" w:tplc="91784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9B"/>
    <w:rsid w:val="00014A14"/>
    <w:rsid w:val="00014E0D"/>
    <w:rsid w:val="00023B64"/>
    <w:rsid w:val="00026086"/>
    <w:rsid w:val="000316AD"/>
    <w:rsid w:val="000317D0"/>
    <w:rsid w:val="00043DE8"/>
    <w:rsid w:val="00044ED9"/>
    <w:rsid w:val="0005007C"/>
    <w:rsid w:val="00055A4C"/>
    <w:rsid w:val="00056E53"/>
    <w:rsid w:val="00062B2C"/>
    <w:rsid w:val="000658A0"/>
    <w:rsid w:val="00071CDA"/>
    <w:rsid w:val="00073A17"/>
    <w:rsid w:val="00077300"/>
    <w:rsid w:val="00077BFA"/>
    <w:rsid w:val="0008122E"/>
    <w:rsid w:val="00090CBF"/>
    <w:rsid w:val="0009277A"/>
    <w:rsid w:val="00092BA3"/>
    <w:rsid w:val="000A14C5"/>
    <w:rsid w:val="000A1957"/>
    <w:rsid w:val="000A3147"/>
    <w:rsid w:val="000A78C8"/>
    <w:rsid w:val="000B022C"/>
    <w:rsid w:val="000B0C5C"/>
    <w:rsid w:val="000B184C"/>
    <w:rsid w:val="000B1D49"/>
    <w:rsid w:val="000B3BAC"/>
    <w:rsid w:val="000C0F61"/>
    <w:rsid w:val="000C1679"/>
    <w:rsid w:val="000D356F"/>
    <w:rsid w:val="000E24C9"/>
    <w:rsid w:val="000E2E64"/>
    <w:rsid w:val="000E7413"/>
    <w:rsid w:val="000F2158"/>
    <w:rsid w:val="000F29A1"/>
    <w:rsid w:val="000F3B68"/>
    <w:rsid w:val="000F4E1A"/>
    <w:rsid w:val="000F695C"/>
    <w:rsid w:val="00100484"/>
    <w:rsid w:val="00100B62"/>
    <w:rsid w:val="00101888"/>
    <w:rsid w:val="001051B6"/>
    <w:rsid w:val="0011112A"/>
    <w:rsid w:val="00112853"/>
    <w:rsid w:val="001216A9"/>
    <w:rsid w:val="0012180F"/>
    <w:rsid w:val="001274DA"/>
    <w:rsid w:val="00130A99"/>
    <w:rsid w:val="00130FC6"/>
    <w:rsid w:val="00133E15"/>
    <w:rsid w:val="00137505"/>
    <w:rsid w:val="00137EA7"/>
    <w:rsid w:val="00141081"/>
    <w:rsid w:val="001414A5"/>
    <w:rsid w:val="00144ACB"/>
    <w:rsid w:val="00151054"/>
    <w:rsid w:val="00151224"/>
    <w:rsid w:val="00151572"/>
    <w:rsid w:val="001519F2"/>
    <w:rsid w:val="001554CA"/>
    <w:rsid w:val="001560FE"/>
    <w:rsid w:val="0016260C"/>
    <w:rsid w:val="00164428"/>
    <w:rsid w:val="0016657A"/>
    <w:rsid w:val="00174322"/>
    <w:rsid w:val="0017520E"/>
    <w:rsid w:val="001763EA"/>
    <w:rsid w:val="00184432"/>
    <w:rsid w:val="001A054A"/>
    <w:rsid w:val="001A086B"/>
    <w:rsid w:val="001A37CD"/>
    <w:rsid w:val="001A65A6"/>
    <w:rsid w:val="001B1AC1"/>
    <w:rsid w:val="001B3CD6"/>
    <w:rsid w:val="001B5851"/>
    <w:rsid w:val="001B7F71"/>
    <w:rsid w:val="001C1E5E"/>
    <w:rsid w:val="001C4BDF"/>
    <w:rsid w:val="001C6A7A"/>
    <w:rsid w:val="001C6CAE"/>
    <w:rsid w:val="001E0AE2"/>
    <w:rsid w:val="001E3C91"/>
    <w:rsid w:val="001E7AD5"/>
    <w:rsid w:val="001F0D0F"/>
    <w:rsid w:val="001F4E90"/>
    <w:rsid w:val="002026DD"/>
    <w:rsid w:val="00205581"/>
    <w:rsid w:val="00207F7E"/>
    <w:rsid w:val="0021193A"/>
    <w:rsid w:val="002200EE"/>
    <w:rsid w:val="00221EF5"/>
    <w:rsid w:val="00224036"/>
    <w:rsid w:val="00230486"/>
    <w:rsid w:val="002314A0"/>
    <w:rsid w:val="0023525C"/>
    <w:rsid w:val="00243FB6"/>
    <w:rsid w:val="00244829"/>
    <w:rsid w:val="00252051"/>
    <w:rsid w:val="00252F1C"/>
    <w:rsid w:val="00254DEB"/>
    <w:rsid w:val="00260DB3"/>
    <w:rsid w:val="00261E10"/>
    <w:rsid w:val="0026465D"/>
    <w:rsid w:val="00264C89"/>
    <w:rsid w:val="00267F03"/>
    <w:rsid w:val="00273FB0"/>
    <w:rsid w:val="0027572A"/>
    <w:rsid w:val="002900FB"/>
    <w:rsid w:val="002925A6"/>
    <w:rsid w:val="002A54E9"/>
    <w:rsid w:val="002C38BF"/>
    <w:rsid w:val="002C5ACD"/>
    <w:rsid w:val="002D3005"/>
    <w:rsid w:val="002D750E"/>
    <w:rsid w:val="002E0550"/>
    <w:rsid w:val="002E7027"/>
    <w:rsid w:val="002F32EA"/>
    <w:rsid w:val="002F7CE4"/>
    <w:rsid w:val="0030345A"/>
    <w:rsid w:val="003039D3"/>
    <w:rsid w:val="003062C3"/>
    <w:rsid w:val="00306BDA"/>
    <w:rsid w:val="00310022"/>
    <w:rsid w:val="00311FB9"/>
    <w:rsid w:val="00315547"/>
    <w:rsid w:val="00315B4D"/>
    <w:rsid w:val="00320B49"/>
    <w:rsid w:val="00324048"/>
    <w:rsid w:val="003259BC"/>
    <w:rsid w:val="00325F42"/>
    <w:rsid w:val="00327942"/>
    <w:rsid w:val="00327999"/>
    <w:rsid w:val="00332CC5"/>
    <w:rsid w:val="003410E0"/>
    <w:rsid w:val="00344F7D"/>
    <w:rsid w:val="0034588B"/>
    <w:rsid w:val="00354590"/>
    <w:rsid w:val="00357EF0"/>
    <w:rsid w:val="00364B37"/>
    <w:rsid w:val="00376EAA"/>
    <w:rsid w:val="00377331"/>
    <w:rsid w:val="003853AC"/>
    <w:rsid w:val="00387BCC"/>
    <w:rsid w:val="0039165D"/>
    <w:rsid w:val="00396429"/>
    <w:rsid w:val="003A0E4E"/>
    <w:rsid w:val="003A1ED6"/>
    <w:rsid w:val="003A40E3"/>
    <w:rsid w:val="003A432C"/>
    <w:rsid w:val="003A4EEF"/>
    <w:rsid w:val="003C394A"/>
    <w:rsid w:val="003C6220"/>
    <w:rsid w:val="003C72C4"/>
    <w:rsid w:val="003D31D5"/>
    <w:rsid w:val="003D36BE"/>
    <w:rsid w:val="003D4569"/>
    <w:rsid w:val="003D6A1A"/>
    <w:rsid w:val="003E4CB0"/>
    <w:rsid w:val="003F4B2D"/>
    <w:rsid w:val="004057FB"/>
    <w:rsid w:val="00411BB5"/>
    <w:rsid w:val="00412C9E"/>
    <w:rsid w:val="004152A5"/>
    <w:rsid w:val="00416527"/>
    <w:rsid w:val="00423841"/>
    <w:rsid w:val="00427BE3"/>
    <w:rsid w:val="00427EC3"/>
    <w:rsid w:val="004320E9"/>
    <w:rsid w:val="00440F72"/>
    <w:rsid w:val="00445F72"/>
    <w:rsid w:val="00453E0C"/>
    <w:rsid w:val="0045453D"/>
    <w:rsid w:val="004566DA"/>
    <w:rsid w:val="0046410C"/>
    <w:rsid w:val="00466872"/>
    <w:rsid w:val="00472FE1"/>
    <w:rsid w:val="00480D9C"/>
    <w:rsid w:val="004836D1"/>
    <w:rsid w:val="00487F1D"/>
    <w:rsid w:val="004921A8"/>
    <w:rsid w:val="00493B3F"/>
    <w:rsid w:val="00493BE8"/>
    <w:rsid w:val="004A08AC"/>
    <w:rsid w:val="004A4B2E"/>
    <w:rsid w:val="004B2122"/>
    <w:rsid w:val="004C53B5"/>
    <w:rsid w:val="004C6184"/>
    <w:rsid w:val="004C6380"/>
    <w:rsid w:val="004D15DC"/>
    <w:rsid w:val="004D1F58"/>
    <w:rsid w:val="004D3394"/>
    <w:rsid w:val="004E22CD"/>
    <w:rsid w:val="004E454F"/>
    <w:rsid w:val="004E7D39"/>
    <w:rsid w:val="004F067E"/>
    <w:rsid w:val="004F4E67"/>
    <w:rsid w:val="005141C9"/>
    <w:rsid w:val="00523A0A"/>
    <w:rsid w:val="005262EA"/>
    <w:rsid w:val="00532352"/>
    <w:rsid w:val="0053290B"/>
    <w:rsid w:val="00533D34"/>
    <w:rsid w:val="005353E4"/>
    <w:rsid w:val="00541AAF"/>
    <w:rsid w:val="00545D80"/>
    <w:rsid w:val="00550E27"/>
    <w:rsid w:val="005523F6"/>
    <w:rsid w:val="00553585"/>
    <w:rsid w:val="005549EE"/>
    <w:rsid w:val="00556240"/>
    <w:rsid w:val="005600DF"/>
    <w:rsid w:val="0056103F"/>
    <w:rsid w:val="005620CA"/>
    <w:rsid w:val="005761C6"/>
    <w:rsid w:val="00576844"/>
    <w:rsid w:val="005834EA"/>
    <w:rsid w:val="00583EEF"/>
    <w:rsid w:val="005842CB"/>
    <w:rsid w:val="005864D1"/>
    <w:rsid w:val="00591F50"/>
    <w:rsid w:val="00592D73"/>
    <w:rsid w:val="00592ED3"/>
    <w:rsid w:val="0059430A"/>
    <w:rsid w:val="005A003E"/>
    <w:rsid w:val="005A3908"/>
    <w:rsid w:val="005A541F"/>
    <w:rsid w:val="005A5F6C"/>
    <w:rsid w:val="005B135B"/>
    <w:rsid w:val="005B35D8"/>
    <w:rsid w:val="005C0281"/>
    <w:rsid w:val="005C4329"/>
    <w:rsid w:val="005C49ED"/>
    <w:rsid w:val="005C4C9F"/>
    <w:rsid w:val="005C526D"/>
    <w:rsid w:val="005C52DA"/>
    <w:rsid w:val="005D066E"/>
    <w:rsid w:val="005D17B9"/>
    <w:rsid w:val="005D3684"/>
    <w:rsid w:val="005D5E4B"/>
    <w:rsid w:val="005D5EC7"/>
    <w:rsid w:val="005E0A06"/>
    <w:rsid w:val="005E0CF7"/>
    <w:rsid w:val="005E2ECC"/>
    <w:rsid w:val="005E37A8"/>
    <w:rsid w:val="005E67B8"/>
    <w:rsid w:val="005E737E"/>
    <w:rsid w:val="005F1A90"/>
    <w:rsid w:val="005F6E51"/>
    <w:rsid w:val="00601EC0"/>
    <w:rsid w:val="006022A3"/>
    <w:rsid w:val="00614677"/>
    <w:rsid w:val="006149C0"/>
    <w:rsid w:val="0061668E"/>
    <w:rsid w:val="00621070"/>
    <w:rsid w:val="0062394D"/>
    <w:rsid w:val="00633C9D"/>
    <w:rsid w:val="00634D5D"/>
    <w:rsid w:val="00635106"/>
    <w:rsid w:val="00636918"/>
    <w:rsid w:val="0063703D"/>
    <w:rsid w:val="00640E3C"/>
    <w:rsid w:val="006458F9"/>
    <w:rsid w:val="00647825"/>
    <w:rsid w:val="00647CB0"/>
    <w:rsid w:val="00651799"/>
    <w:rsid w:val="00652C15"/>
    <w:rsid w:val="006535C0"/>
    <w:rsid w:val="00653EA3"/>
    <w:rsid w:val="006547D7"/>
    <w:rsid w:val="00657554"/>
    <w:rsid w:val="00661967"/>
    <w:rsid w:val="006631F4"/>
    <w:rsid w:val="00667133"/>
    <w:rsid w:val="00667B32"/>
    <w:rsid w:val="00670F88"/>
    <w:rsid w:val="00672AE3"/>
    <w:rsid w:val="006743F2"/>
    <w:rsid w:val="006954F2"/>
    <w:rsid w:val="00695664"/>
    <w:rsid w:val="00695879"/>
    <w:rsid w:val="006A7190"/>
    <w:rsid w:val="006B36DE"/>
    <w:rsid w:val="006B467A"/>
    <w:rsid w:val="006B66F3"/>
    <w:rsid w:val="006B6F2E"/>
    <w:rsid w:val="006C19BA"/>
    <w:rsid w:val="006C44AF"/>
    <w:rsid w:val="006C6F88"/>
    <w:rsid w:val="006D08FC"/>
    <w:rsid w:val="006E1483"/>
    <w:rsid w:val="006E2FA9"/>
    <w:rsid w:val="006E6390"/>
    <w:rsid w:val="006E7F7E"/>
    <w:rsid w:val="006F15BB"/>
    <w:rsid w:val="006F27EB"/>
    <w:rsid w:val="006F410A"/>
    <w:rsid w:val="006F60B1"/>
    <w:rsid w:val="00703908"/>
    <w:rsid w:val="007123EC"/>
    <w:rsid w:val="00712A1D"/>
    <w:rsid w:val="00712B7E"/>
    <w:rsid w:val="00713371"/>
    <w:rsid w:val="00714443"/>
    <w:rsid w:val="00721E38"/>
    <w:rsid w:val="007238CE"/>
    <w:rsid w:val="00723B41"/>
    <w:rsid w:val="00732A79"/>
    <w:rsid w:val="00735BFD"/>
    <w:rsid w:val="00742E6C"/>
    <w:rsid w:val="0074683C"/>
    <w:rsid w:val="007505D4"/>
    <w:rsid w:val="00752754"/>
    <w:rsid w:val="00753301"/>
    <w:rsid w:val="007672D5"/>
    <w:rsid w:val="0077017A"/>
    <w:rsid w:val="00780DEF"/>
    <w:rsid w:val="00791B3F"/>
    <w:rsid w:val="00793808"/>
    <w:rsid w:val="007948E3"/>
    <w:rsid w:val="007973E9"/>
    <w:rsid w:val="007A0B5A"/>
    <w:rsid w:val="007A2175"/>
    <w:rsid w:val="007B0161"/>
    <w:rsid w:val="007B0E03"/>
    <w:rsid w:val="007B3ED2"/>
    <w:rsid w:val="007B7585"/>
    <w:rsid w:val="007C39F5"/>
    <w:rsid w:val="007C43E4"/>
    <w:rsid w:val="007C54AB"/>
    <w:rsid w:val="007C6804"/>
    <w:rsid w:val="007D072B"/>
    <w:rsid w:val="007D1AB9"/>
    <w:rsid w:val="007D21B1"/>
    <w:rsid w:val="007D3336"/>
    <w:rsid w:val="007E4CBB"/>
    <w:rsid w:val="007F64DA"/>
    <w:rsid w:val="00805957"/>
    <w:rsid w:val="0081030A"/>
    <w:rsid w:val="0081059B"/>
    <w:rsid w:val="008113E3"/>
    <w:rsid w:val="00814C50"/>
    <w:rsid w:val="00815252"/>
    <w:rsid w:val="008178DA"/>
    <w:rsid w:val="008240DA"/>
    <w:rsid w:val="00826D92"/>
    <w:rsid w:val="008315F5"/>
    <w:rsid w:val="008408DB"/>
    <w:rsid w:val="00840907"/>
    <w:rsid w:val="00843142"/>
    <w:rsid w:val="0084325A"/>
    <w:rsid w:val="008449D8"/>
    <w:rsid w:val="00847E2C"/>
    <w:rsid w:val="00851BB3"/>
    <w:rsid w:val="00852650"/>
    <w:rsid w:val="00852C1D"/>
    <w:rsid w:val="00854D20"/>
    <w:rsid w:val="008633F0"/>
    <w:rsid w:val="008639E4"/>
    <w:rsid w:val="0086589E"/>
    <w:rsid w:val="008660BB"/>
    <w:rsid w:val="008752D4"/>
    <w:rsid w:val="00883051"/>
    <w:rsid w:val="00884B79"/>
    <w:rsid w:val="00886412"/>
    <w:rsid w:val="00892A49"/>
    <w:rsid w:val="00895292"/>
    <w:rsid w:val="008A0438"/>
    <w:rsid w:val="008A073B"/>
    <w:rsid w:val="008A4C88"/>
    <w:rsid w:val="008A611A"/>
    <w:rsid w:val="008A7A72"/>
    <w:rsid w:val="008B14B9"/>
    <w:rsid w:val="008B645B"/>
    <w:rsid w:val="008C245D"/>
    <w:rsid w:val="008D36AB"/>
    <w:rsid w:val="008D4BD1"/>
    <w:rsid w:val="008D5181"/>
    <w:rsid w:val="008E039A"/>
    <w:rsid w:val="008E1F2C"/>
    <w:rsid w:val="008E4817"/>
    <w:rsid w:val="008E5202"/>
    <w:rsid w:val="008E76E4"/>
    <w:rsid w:val="008F16D6"/>
    <w:rsid w:val="008F2524"/>
    <w:rsid w:val="00900156"/>
    <w:rsid w:val="009004BF"/>
    <w:rsid w:val="00901FBA"/>
    <w:rsid w:val="00904888"/>
    <w:rsid w:val="009113F1"/>
    <w:rsid w:val="00931A3C"/>
    <w:rsid w:val="009323E6"/>
    <w:rsid w:val="00933B36"/>
    <w:rsid w:val="0093790B"/>
    <w:rsid w:val="00940401"/>
    <w:rsid w:val="00946172"/>
    <w:rsid w:val="00951377"/>
    <w:rsid w:val="00955486"/>
    <w:rsid w:val="00961048"/>
    <w:rsid w:val="009621C4"/>
    <w:rsid w:val="0096308C"/>
    <w:rsid w:val="009632A7"/>
    <w:rsid w:val="009635C8"/>
    <w:rsid w:val="009647D5"/>
    <w:rsid w:val="00985EB6"/>
    <w:rsid w:val="00985F10"/>
    <w:rsid w:val="009924F7"/>
    <w:rsid w:val="009933E3"/>
    <w:rsid w:val="00995C24"/>
    <w:rsid w:val="00997968"/>
    <w:rsid w:val="009A021E"/>
    <w:rsid w:val="009A7710"/>
    <w:rsid w:val="009B26CE"/>
    <w:rsid w:val="009B3289"/>
    <w:rsid w:val="009B5808"/>
    <w:rsid w:val="009B7F51"/>
    <w:rsid w:val="009C4093"/>
    <w:rsid w:val="009D2A0B"/>
    <w:rsid w:val="009D4008"/>
    <w:rsid w:val="009D42DB"/>
    <w:rsid w:val="009E2701"/>
    <w:rsid w:val="009F2531"/>
    <w:rsid w:val="009F4B03"/>
    <w:rsid w:val="00A00440"/>
    <w:rsid w:val="00A01801"/>
    <w:rsid w:val="00A05832"/>
    <w:rsid w:val="00A0699D"/>
    <w:rsid w:val="00A10F15"/>
    <w:rsid w:val="00A113E4"/>
    <w:rsid w:val="00A1180E"/>
    <w:rsid w:val="00A14DA6"/>
    <w:rsid w:val="00A15CD3"/>
    <w:rsid w:val="00A16AFF"/>
    <w:rsid w:val="00A17B3D"/>
    <w:rsid w:val="00A26FBB"/>
    <w:rsid w:val="00A27E4A"/>
    <w:rsid w:val="00A30A06"/>
    <w:rsid w:val="00A31C65"/>
    <w:rsid w:val="00A33099"/>
    <w:rsid w:val="00A35499"/>
    <w:rsid w:val="00A40519"/>
    <w:rsid w:val="00A4060E"/>
    <w:rsid w:val="00A42803"/>
    <w:rsid w:val="00A43E54"/>
    <w:rsid w:val="00A44DF0"/>
    <w:rsid w:val="00A47655"/>
    <w:rsid w:val="00A51FC2"/>
    <w:rsid w:val="00A52038"/>
    <w:rsid w:val="00A54DB1"/>
    <w:rsid w:val="00A60EF6"/>
    <w:rsid w:val="00A66536"/>
    <w:rsid w:val="00A70B05"/>
    <w:rsid w:val="00A710A9"/>
    <w:rsid w:val="00A71D7F"/>
    <w:rsid w:val="00A74D67"/>
    <w:rsid w:val="00A81C40"/>
    <w:rsid w:val="00A85374"/>
    <w:rsid w:val="00A87623"/>
    <w:rsid w:val="00A90136"/>
    <w:rsid w:val="00A92B74"/>
    <w:rsid w:val="00A94FB2"/>
    <w:rsid w:val="00A952B5"/>
    <w:rsid w:val="00A97772"/>
    <w:rsid w:val="00AA1408"/>
    <w:rsid w:val="00AA2307"/>
    <w:rsid w:val="00AA307C"/>
    <w:rsid w:val="00AA3616"/>
    <w:rsid w:val="00AA4BDA"/>
    <w:rsid w:val="00AA4D3E"/>
    <w:rsid w:val="00AA7F9B"/>
    <w:rsid w:val="00AB2866"/>
    <w:rsid w:val="00AB598D"/>
    <w:rsid w:val="00AC5C89"/>
    <w:rsid w:val="00AC6A13"/>
    <w:rsid w:val="00AC6DD3"/>
    <w:rsid w:val="00AC7147"/>
    <w:rsid w:val="00AD0949"/>
    <w:rsid w:val="00AD0EE6"/>
    <w:rsid w:val="00AD11FB"/>
    <w:rsid w:val="00AD15E5"/>
    <w:rsid w:val="00AD3372"/>
    <w:rsid w:val="00AE412B"/>
    <w:rsid w:val="00AE5E4D"/>
    <w:rsid w:val="00B03CE0"/>
    <w:rsid w:val="00B04231"/>
    <w:rsid w:val="00B0448C"/>
    <w:rsid w:val="00B10EB4"/>
    <w:rsid w:val="00B1242F"/>
    <w:rsid w:val="00B13359"/>
    <w:rsid w:val="00B23432"/>
    <w:rsid w:val="00B2635D"/>
    <w:rsid w:val="00B26EDD"/>
    <w:rsid w:val="00B33299"/>
    <w:rsid w:val="00B361EA"/>
    <w:rsid w:val="00B40A02"/>
    <w:rsid w:val="00B427CF"/>
    <w:rsid w:val="00B46237"/>
    <w:rsid w:val="00B52220"/>
    <w:rsid w:val="00B62633"/>
    <w:rsid w:val="00B6549A"/>
    <w:rsid w:val="00B67139"/>
    <w:rsid w:val="00B712E2"/>
    <w:rsid w:val="00B765BD"/>
    <w:rsid w:val="00B82C01"/>
    <w:rsid w:val="00B85FDF"/>
    <w:rsid w:val="00B86A5C"/>
    <w:rsid w:val="00B871CC"/>
    <w:rsid w:val="00B93D3A"/>
    <w:rsid w:val="00BA101F"/>
    <w:rsid w:val="00BA13DC"/>
    <w:rsid w:val="00BA351E"/>
    <w:rsid w:val="00BA4E05"/>
    <w:rsid w:val="00BA7C08"/>
    <w:rsid w:val="00BA7E0F"/>
    <w:rsid w:val="00BB10B8"/>
    <w:rsid w:val="00BB31AE"/>
    <w:rsid w:val="00BB5527"/>
    <w:rsid w:val="00BB60AC"/>
    <w:rsid w:val="00BC2BDC"/>
    <w:rsid w:val="00BC356C"/>
    <w:rsid w:val="00BC3C3B"/>
    <w:rsid w:val="00BC604B"/>
    <w:rsid w:val="00BD02B4"/>
    <w:rsid w:val="00BD1F33"/>
    <w:rsid w:val="00BE2C02"/>
    <w:rsid w:val="00BE4DDF"/>
    <w:rsid w:val="00BE6EDF"/>
    <w:rsid w:val="00BF5834"/>
    <w:rsid w:val="00BF5FC9"/>
    <w:rsid w:val="00BF76E0"/>
    <w:rsid w:val="00C0056F"/>
    <w:rsid w:val="00C00AEF"/>
    <w:rsid w:val="00C0538B"/>
    <w:rsid w:val="00C06456"/>
    <w:rsid w:val="00C06AC1"/>
    <w:rsid w:val="00C110C0"/>
    <w:rsid w:val="00C260BB"/>
    <w:rsid w:val="00C26B0E"/>
    <w:rsid w:val="00C31226"/>
    <w:rsid w:val="00C3161A"/>
    <w:rsid w:val="00C32514"/>
    <w:rsid w:val="00C359CD"/>
    <w:rsid w:val="00C43979"/>
    <w:rsid w:val="00C4514C"/>
    <w:rsid w:val="00C506F9"/>
    <w:rsid w:val="00C513B5"/>
    <w:rsid w:val="00C5444F"/>
    <w:rsid w:val="00C63675"/>
    <w:rsid w:val="00C666D2"/>
    <w:rsid w:val="00C73DB6"/>
    <w:rsid w:val="00C743A1"/>
    <w:rsid w:val="00C80507"/>
    <w:rsid w:val="00C815B9"/>
    <w:rsid w:val="00C83604"/>
    <w:rsid w:val="00C83EF4"/>
    <w:rsid w:val="00C94218"/>
    <w:rsid w:val="00C9658C"/>
    <w:rsid w:val="00C9681D"/>
    <w:rsid w:val="00C96A35"/>
    <w:rsid w:val="00CA5B16"/>
    <w:rsid w:val="00CA5FF8"/>
    <w:rsid w:val="00CB2A62"/>
    <w:rsid w:val="00CB355F"/>
    <w:rsid w:val="00CB496B"/>
    <w:rsid w:val="00CC11A1"/>
    <w:rsid w:val="00CC76C3"/>
    <w:rsid w:val="00CD227B"/>
    <w:rsid w:val="00CD4C61"/>
    <w:rsid w:val="00CD5D44"/>
    <w:rsid w:val="00CE2D99"/>
    <w:rsid w:val="00CE484C"/>
    <w:rsid w:val="00CE6F4F"/>
    <w:rsid w:val="00CF2E2E"/>
    <w:rsid w:val="00CF61F2"/>
    <w:rsid w:val="00CF665D"/>
    <w:rsid w:val="00D034CB"/>
    <w:rsid w:val="00D07D84"/>
    <w:rsid w:val="00D12B81"/>
    <w:rsid w:val="00D14146"/>
    <w:rsid w:val="00D15A00"/>
    <w:rsid w:val="00D16532"/>
    <w:rsid w:val="00D20A2E"/>
    <w:rsid w:val="00D21260"/>
    <w:rsid w:val="00D22FD7"/>
    <w:rsid w:val="00D30D99"/>
    <w:rsid w:val="00D30FF6"/>
    <w:rsid w:val="00D329F7"/>
    <w:rsid w:val="00D33299"/>
    <w:rsid w:val="00D333CC"/>
    <w:rsid w:val="00D40CF6"/>
    <w:rsid w:val="00D43736"/>
    <w:rsid w:val="00D507E4"/>
    <w:rsid w:val="00D5142D"/>
    <w:rsid w:val="00D51644"/>
    <w:rsid w:val="00D545A8"/>
    <w:rsid w:val="00D6117A"/>
    <w:rsid w:val="00D636BB"/>
    <w:rsid w:val="00D669C7"/>
    <w:rsid w:val="00D67200"/>
    <w:rsid w:val="00D82810"/>
    <w:rsid w:val="00D83B66"/>
    <w:rsid w:val="00D84460"/>
    <w:rsid w:val="00D93018"/>
    <w:rsid w:val="00D94AAD"/>
    <w:rsid w:val="00DA2089"/>
    <w:rsid w:val="00DA325B"/>
    <w:rsid w:val="00DA3D3B"/>
    <w:rsid w:val="00DB2D7F"/>
    <w:rsid w:val="00DC014F"/>
    <w:rsid w:val="00DC1A5E"/>
    <w:rsid w:val="00DD186E"/>
    <w:rsid w:val="00DD1D9D"/>
    <w:rsid w:val="00DD353E"/>
    <w:rsid w:val="00DD4525"/>
    <w:rsid w:val="00DD51B2"/>
    <w:rsid w:val="00DE4D5D"/>
    <w:rsid w:val="00DE7C38"/>
    <w:rsid w:val="00DF37E2"/>
    <w:rsid w:val="00DF59F6"/>
    <w:rsid w:val="00DF6383"/>
    <w:rsid w:val="00DF63D1"/>
    <w:rsid w:val="00DF6A24"/>
    <w:rsid w:val="00E05123"/>
    <w:rsid w:val="00E065D8"/>
    <w:rsid w:val="00E108BA"/>
    <w:rsid w:val="00E12C38"/>
    <w:rsid w:val="00E32CCA"/>
    <w:rsid w:val="00E34A57"/>
    <w:rsid w:val="00E4573E"/>
    <w:rsid w:val="00E5009B"/>
    <w:rsid w:val="00E56437"/>
    <w:rsid w:val="00E601D4"/>
    <w:rsid w:val="00E63D21"/>
    <w:rsid w:val="00E71839"/>
    <w:rsid w:val="00E861EF"/>
    <w:rsid w:val="00E87025"/>
    <w:rsid w:val="00E97C3E"/>
    <w:rsid w:val="00EA0676"/>
    <w:rsid w:val="00EA3159"/>
    <w:rsid w:val="00EA7B6F"/>
    <w:rsid w:val="00EB2A77"/>
    <w:rsid w:val="00EB37C4"/>
    <w:rsid w:val="00EB61AD"/>
    <w:rsid w:val="00EB7F7C"/>
    <w:rsid w:val="00EC4AB3"/>
    <w:rsid w:val="00EC501D"/>
    <w:rsid w:val="00EC5D58"/>
    <w:rsid w:val="00EC5FB4"/>
    <w:rsid w:val="00EC64E3"/>
    <w:rsid w:val="00ED07C9"/>
    <w:rsid w:val="00ED158E"/>
    <w:rsid w:val="00ED18AD"/>
    <w:rsid w:val="00ED2451"/>
    <w:rsid w:val="00ED44D3"/>
    <w:rsid w:val="00ED5CA7"/>
    <w:rsid w:val="00ED72AA"/>
    <w:rsid w:val="00EE0FA5"/>
    <w:rsid w:val="00EE4887"/>
    <w:rsid w:val="00EE71C6"/>
    <w:rsid w:val="00EE781B"/>
    <w:rsid w:val="00EF0294"/>
    <w:rsid w:val="00EF08FB"/>
    <w:rsid w:val="00F05925"/>
    <w:rsid w:val="00F13006"/>
    <w:rsid w:val="00F157D8"/>
    <w:rsid w:val="00F15D85"/>
    <w:rsid w:val="00F22F32"/>
    <w:rsid w:val="00F2462A"/>
    <w:rsid w:val="00F247A0"/>
    <w:rsid w:val="00F26E69"/>
    <w:rsid w:val="00F31255"/>
    <w:rsid w:val="00F37CC7"/>
    <w:rsid w:val="00F40BD8"/>
    <w:rsid w:val="00F444FC"/>
    <w:rsid w:val="00F47B0A"/>
    <w:rsid w:val="00F509B4"/>
    <w:rsid w:val="00F537F8"/>
    <w:rsid w:val="00F54CFD"/>
    <w:rsid w:val="00F5508C"/>
    <w:rsid w:val="00F573D3"/>
    <w:rsid w:val="00F62222"/>
    <w:rsid w:val="00F70491"/>
    <w:rsid w:val="00F75357"/>
    <w:rsid w:val="00F760C2"/>
    <w:rsid w:val="00F86986"/>
    <w:rsid w:val="00F905F7"/>
    <w:rsid w:val="00F94D53"/>
    <w:rsid w:val="00F94DBB"/>
    <w:rsid w:val="00F95423"/>
    <w:rsid w:val="00F96174"/>
    <w:rsid w:val="00F97802"/>
    <w:rsid w:val="00FA5907"/>
    <w:rsid w:val="00FA7282"/>
    <w:rsid w:val="00FB012C"/>
    <w:rsid w:val="00FB4FF3"/>
    <w:rsid w:val="00FD21CA"/>
    <w:rsid w:val="00FE09EA"/>
    <w:rsid w:val="00FE23D8"/>
    <w:rsid w:val="00FE2960"/>
    <w:rsid w:val="00FE46EB"/>
    <w:rsid w:val="00FE58D5"/>
    <w:rsid w:val="00FE7E3B"/>
    <w:rsid w:val="00FF0787"/>
    <w:rsid w:val="00FF716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link w:val="BodySingle0"/>
    <w:rsid w:val="0081059B"/>
    <w:pPr>
      <w:widowControl w:val="0"/>
    </w:pPr>
    <w:rPr>
      <w:snapToGrid w:val="0"/>
      <w:color w:val="000000"/>
      <w:sz w:val="28"/>
    </w:rPr>
  </w:style>
  <w:style w:type="paragraph" w:customStyle="1" w:styleId="1">
    <w:name w:val="Нижний колонтитул1"/>
    <w:rsid w:val="0081059B"/>
    <w:pPr>
      <w:widowControl w:val="0"/>
      <w:jc w:val="center"/>
    </w:pPr>
    <w:rPr>
      <w:b/>
      <w:snapToGrid w:val="0"/>
      <w:color w:val="000000"/>
    </w:rPr>
  </w:style>
  <w:style w:type="paragraph" w:customStyle="1" w:styleId="TableText">
    <w:name w:val="Table Text"/>
    <w:rsid w:val="0081059B"/>
    <w:pPr>
      <w:widowControl w:val="0"/>
      <w:jc w:val="center"/>
    </w:pPr>
    <w:rPr>
      <w:snapToGrid w:val="0"/>
      <w:color w:val="000000"/>
      <w:sz w:val="24"/>
    </w:rPr>
  </w:style>
  <w:style w:type="paragraph" w:customStyle="1" w:styleId="CentrePosled">
    <w:name w:val="Centre Posled"/>
    <w:next w:val="a"/>
    <w:rsid w:val="0081059B"/>
    <w:pPr>
      <w:keepNext/>
      <w:keepLines/>
      <w:widowControl w:val="0"/>
      <w:spacing w:after="288"/>
      <w:jc w:val="center"/>
    </w:pPr>
    <w:rPr>
      <w:b/>
      <w:snapToGrid w:val="0"/>
      <w:color w:val="000000"/>
      <w:sz w:val="28"/>
    </w:rPr>
  </w:style>
  <w:style w:type="paragraph" w:styleId="a3">
    <w:name w:val="Body Text"/>
    <w:basedOn w:val="a"/>
    <w:rsid w:val="0081059B"/>
    <w:pPr>
      <w:widowControl w:val="0"/>
      <w:autoSpaceDE w:val="0"/>
      <w:autoSpaceDN w:val="0"/>
      <w:adjustRightInd w:val="0"/>
      <w:ind w:firstLine="504"/>
      <w:jc w:val="both"/>
    </w:pPr>
    <w:rPr>
      <w:color w:val="000000"/>
      <w:sz w:val="28"/>
      <w:szCs w:val="28"/>
    </w:rPr>
  </w:style>
  <w:style w:type="paragraph" w:styleId="a4">
    <w:name w:val="header"/>
    <w:basedOn w:val="a"/>
    <w:rsid w:val="0081059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059B"/>
  </w:style>
  <w:style w:type="paragraph" w:styleId="2">
    <w:name w:val="Body Text 2"/>
    <w:basedOn w:val="a"/>
    <w:rsid w:val="0081059B"/>
    <w:pPr>
      <w:spacing w:after="120" w:line="480" w:lineRule="auto"/>
    </w:pPr>
  </w:style>
  <w:style w:type="paragraph" w:customStyle="1" w:styleId="ConsPlusTitle">
    <w:name w:val="ConsPlusTitle"/>
    <w:rsid w:val="00B0448C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Основной текст1"/>
    <w:rsid w:val="00A70B05"/>
    <w:pPr>
      <w:widowControl w:val="0"/>
      <w:ind w:firstLine="504"/>
      <w:jc w:val="both"/>
    </w:pPr>
    <w:rPr>
      <w:snapToGrid w:val="0"/>
      <w:color w:val="000000"/>
      <w:sz w:val="28"/>
    </w:rPr>
  </w:style>
  <w:style w:type="character" w:styleId="a6">
    <w:name w:val="Hyperlink"/>
    <w:rsid w:val="00A70B05"/>
    <w:rPr>
      <w:color w:val="0000FF"/>
      <w:u w:val="single"/>
    </w:rPr>
  </w:style>
  <w:style w:type="character" w:customStyle="1" w:styleId="BodySingle0">
    <w:name w:val="Body Single Знак"/>
    <w:link w:val="BodySingle"/>
    <w:locked/>
    <w:rsid w:val="00A70B05"/>
    <w:rPr>
      <w:snapToGrid w:val="0"/>
      <w:color w:val="000000"/>
      <w:sz w:val="28"/>
      <w:lang w:val="ru-RU" w:eastAsia="ru-RU" w:bidi="ar-SA"/>
    </w:rPr>
  </w:style>
  <w:style w:type="paragraph" w:customStyle="1" w:styleId="11">
    <w:name w:val="Основной текст1"/>
    <w:rsid w:val="0063703D"/>
    <w:pPr>
      <w:widowControl w:val="0"/>
      <w:ind w:firstLine="504"/>
      <w:jc w:val="both"/>
    </w:pPr>
    <w:rPr>
      <w:snapToGrid w:val="0"/>
      <w:color w:val="000000"/>
      <w:sz w:val="28"/>
    </w:rPr>
  </w:style>
  <w:style w:type="paragraph" w:styleId="a7">
    <w:name w:val="Balloon Text"/>
    <w:basedOn w:val="a"/>
    <w:link w:val="a8"/>
    <w:rsid w:val="005A39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A3908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nhideWhenUsed/>
    <w:qFormat/>
    <w:rsid w:val="00C506F9"/>
    <w:rPr>
      <w:b/>
      <w:bCs/>
    </w:rPr>
  </w:style>
  <w:style w:type="table" w:styleId="aa">
    <w:name w:val="Table Grid"/>
    <w:basedOn w:val="a1"/>
    <w:rsid w:val="00224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link w:val="BodySingle0"/>
    <w:rsid w:val="0081059B"/>
    <w:pPr>
      <w:widowControl w:val="0"/>
    </w:pPr>
    <w:rPr>
      <w:snapToGrid w:val="0"/>
      <w:color w:val="000000"/>
      <w:sz w:val="28"/>
    </w:rPr>
  </w:style>
  <w:style w:type="paragraph" w:customStyle="1" w:styleId="1">
    <w:name w:val="Нижний колонтитул1"/>
    <w:rsid w:val="0081059B"/>
    <w:pPr>
      <w:widowControl w:val="0"/>
      <w:jc w:val="center"/>
    </w:pPr>
    <w:rPr>
      <w:b/>
      <w:snapToGrid w:val="0"/>
      <w:color w:val="000000"/>
    </w:rPr>
  </w:style>
  <w:style w:type="paragraph" w:customStyle="1" w:styleId="TableText">
    <w:name w:val="Table Text"/>
    <w:rsid w:val="0081059B"/>
    <w:pPr>
      <w:widowControl w:val="0"/>
      <w:jc w:val="center"/>
    </w:pPr>
    <w:rPr>
      <w:snapToGrid w:val="0"/>
      <w:color w:val="000000"/>
      <w:sz w:val="24"/>
    </w:rPr>
  </w:style>
  <w:style w:type="paragraph" w:customStyle="1" w:styleId="CentrePosled">
    <w:name w:val="Centre Posled"/>
    <w:next w:val="a"/>
    <w:rsid w:val="0081059B"/>
    <w:pPr>
      <w:keepNext/>
      <w:keepLines/>
      <w:widowControl w:val="0"/>
      <w:spacing w:after="288"/>
      <w:jc w:val="center"/>
    </w:pPr>
    <w:rPr>
      <w:b/>
      <w:snapToGrid w:val="0"/>
      <w:color w:val="000000"/>
      <w:sz w:val="28"/>
    </w:rPr>
  </w:style>
  <w:style w:type="paragraph" w:styleId="a3">
    <w:name w:val="Body Text"/>
    <w:basedOn w:val="a"/>
    <w:rsid w:val="0081059B"/>
    <w:pPr>
      <w:widowControl w:val="0"/>
      <w:autoSpaceDE w:val="0"/>
      <w:autoSpaceDN w:val="0"/>
      <w:adjustRightInd w:val="0"/>
      <w:ind w:firstLine="504"/>
      <w:jc w:val="both"/>
    </w:pPr>
    <w:rPr>
      <w:color w:val="000000"/>
      <w:sz w:val="28"/>
      <w:szCs w:val="28"/>
    </w:rPr>
  </w:style>
  <w:style w:type="paragraph" w:styleId="a4">
    <w:name w:val="header"/>
    <w:basedOn w:val="a"/>
    <w:rsid w:val="0081059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059B"/>
  </w:style>
  <w:style w:type="paragraph" w:styleId="2">
    <w:name w:val="Body Text 2"/>
    <w:basedOn w:val="a"/>
    <w:rsid w:val="0081059B"/>
    <w:pPr>
      <w:spacing w:after="120" w:line="480" w:lineRule="auto"/>
    </w:pPr>
  </w:style>
  <w:style w:type="paragraph" w:customStyle="1" w:styleId="ConsPlusTitle">
    <w:name w:val="ConsPlusTitle"/>
    <w:rsid w:val="00B0448C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Основной текст1"/>
    <w:rsid w:val="00A70B05"/>
    <w:pPr>
      <w:widowControl w:val="0"/>
      <w:ind w:firstLine="504"/>
      <w:jc w:val="both"/>
    </w:pPr>
    <w:rPr>
      <w:snapToGrid w:val="0"/>
      <w:color w:val="000000"/>
      <w:sz w:val="28"/>
    </w:rPr>
  </w:style>
  <w:style w:type="character" w:styleId="a6">
    <w:name w:val="Hyperlink"/>
    <w:rsid w:val="00A70B05"/>
    <w:rPr>
      <w:color w:val="0000FF"/>
      <w:u w:val="single"/>
    </w:rPr>
  </w:style>
  <w:style w:type="character" w:customStyle="1" w:styleId="BodySingle0">
    <w:name w:val="Body Single Знак"/>
    <w:link w:val="BodySingle"/>
    <w:locked/>
    <w:rsid w:val="00A70B05"/>
    <w:rPr>
      <w:snapToGrid w:val="0"/>
      <w:color w:val="000000"/>
      <w:sz w:val="28"/>
      <w:lang w:val="ru-RU" w:eastAsia="ru-RU" w:bidi="ar-SA"/>
    </w:rPr>
  </w:style>
  <w:style w:type="paragraph" w:customStyle="1" w:styleId="11">
    <w:name w:val="Основной текст1"/>
    <w:rsid w:val="0063703D"/>
    <w:pPr>
      <w:widowControl w:val="0"/>
      <w:ind w:firstLine="504"/>
      <w:jc w:val="both"/>
    </w:pPr>
    <w:rPr>
      <w:snapToGrid w:val="0"/>
      <w:color w:val="000000"/>
      <w:sz w:val="28"/>
    </w:rPr>
  </w:style>
  <w:style w:type="paragraph" w:styleId="a7">
    <w:name w:val="Balloon Text"/>
    <w:basedOn w:val="a"/>
    <w:link w:val="a8"/>
    <w:rsid w:val="005A39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5A3908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nhideWhenUsed/>
    <w:qFormat/>
    <w:rsid w:val="00C506F9"/>
    <w:rPr>
      <w:b/>
      <w:bCs/>
    </w:rPr>
  </w:style>
  <w:style w:type="table" w:styleId="aa">
    <w:name w:val="Table Grid"/>
    <w:basedOn w:val="a1"/>
    <w:rsid w:val="00224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050927541430633"/>
          <c:y val="7.5036334967687163E-2"/>
          <c:w val="0.45237068522439916"/>
          <c:h val="0.8685564962480598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.</c:v>
                </c:pt>
              </c:strCache>
            </c:strRef>
          </c:tx>
          <c:spPr>
            <a:solidFill>
              <a:srgbClr val="00B050"/>
            </a:solidFill>
          </c:spPr>
          <c:dPt>
            <c:idx val="0"/>
            <c:bubble3D val="0"/>
            <c:spPr>
              <a:solidFill>
                <a:srgbClr val="FF0000"/>
              </a:solidFill>
            </c:spPr>
          </c:dPt>
          <c:dPt>
            <c:idx val="1"/>
            <c:bubble3D val="0"/>
            <c:explosion val="4"/>
          </c:dPt>
          <c:dLbls>
            <c:dLbl>
              <c:idx val="0"/>
              <c:layout>
                <c:manualLayout>
                  <c:x val="-0.16678735129195932"/>
                  <c:y val="-0.17811736604961728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466921020863453"/>
                  <c:y val="4.994396220520936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4047</c:v>
                </c:pt>
                <c:pt idx="1">
                  <c:v>3041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092191601049863E-2"/>
          <c:y val="8.9681096001933525E-2"/>
          <c:w val="0.68497612277631958"/>
          <c:h val="0.510790200094132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 (4047)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8.07754442649430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3.2299741602067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Администрация Правительства Кузбасса</c:v>
                </c:pt>
                <c:pt idx="1">
                  <c:v>Граждане, организации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1048</c:v>
                </c:pt>
                <c:pt idx="1">
                  <c:v>2999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 (3041)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3.22997416020671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4875562720133283E-17"/>
                  <c:y val="1.614987080103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Администрация Правительства Кузбасса</c:v>
                </c:pt>
                <c:pt idx="1">
                  <c:v>Граждане, организации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868</c:v>
                </c:pt>
                <c:pt idx="1">
                  <c:v>2173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968896"/>
        <c:axId val="61005120"/>
      </c:barChart>
      <c:catAx>
        <c:axId val="939688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61005120"/>
        <c:crosses val="autoZero"/>
        <c:auto val="1"/>
        <c:lblAlgn val="ctr"/>
        <c:lblOffset val="100"/>
        <c:noMultiLvlLbl val="0"/>
      </c:catAx>
      <c:valAx>
        <c:axId val="61005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96889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3.2393909944930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Даны разъяснения</c:v>
                </c:pt>
                <c:pt idx="1">
                  <c:v>Направлены на рассмотрение в иные органы</c:v>
                </c:pt>
                <c:pt idx="2">
                  <c:v>Обращения находятся на рассмотрении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2702</c:v>
                </c:pt>
                <c:pt idx="1">
                  <c:v>844</c:v>
                </c:pt>
                <c:pt idx="2">
                  <c:v>460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Даны разъяснения</c:v>
                </c:pt>
                <c:pt idx="1">
                  <c:v>Направлены на рассмотрение в иные органы</c:v>
                </c:pt>
                <c:pt idx="2">
                  <c:v>Обращения находятся на рассмотрении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1914</c:v>
                </c:pt>
                <c:pt idx="1">
                  <c:v>739</c:v>
                </c:pt>
                <c:pt idx="2">
                  <c:v>388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060416"/>
        <c:axId val="86124800"/>
      </c:barChart>
      <c:catAx>
        <c:axId val="1600604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6124800"/>
        <c:crosses val="autoZero"/>
        <c:auto val="1"/>
        <c:lblAlgn val="ctr"/>
        <c:lblOffset val="100"/>
        <c:noMultiLvlLbl val="0"/>
      </c:catAx>
      <c:valAx>
        <c:axId val="8612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06041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Заявления </c:v>
                </c:pt>
                <c:pt idx="1">
                  <c:v>Жалобы</c:v>
                </c:pt>
                <c:pt idx="2">
                  <c:v>Запросы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1995</c:v>
                </c:pt>
                <c:pt idx="1">
                  <c:v>1825</c:v>
                </c:pt>
                <c:pt idx="2">
                  <c:v>227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Заявления </c:v>
                </c:pt>
                <c:pt idx="1">
                  <c:v>Жалобы</c:v>
                </c:pt>
                <c:pt idx="2">
                  <c:v>Запросы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1640</c:v>
                </c:pt>
                <c:pt idx="1">
                  <c:v>1234</c:v>
                </c:pt>
                <c:pt idx="2">
                  <c:v>167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969920"/>
        <c:axId val="86129984"/>
      </c:barChart>
      <c:catAx>
        <c:axId val="939699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6129984"/>
        <c:crosses val="autoZero"/>
        <c:auto val="1"/>
        <c:lblAlgn val="ctr"/>
        <c:lblOffset val="100"/>
        <c:noMultiLvlLbl val="0"/>
      </c:catAx>
      <c:valAx>
        <c:axId val="86129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96992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Образование</c:v>
                </c:pt>
                <c:pt idx="1">
                  <c:v>Семья</c:v>
                </c:pt>
                <c:pt idx="2">
                  <c:v>Жилище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1285</c:v>
                </c:pt>
                <c:pt idx="1">
                  <c:v>785</c:v>
                </c:pt>
                <c:pt idx="2">
                  <c:v>418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Образование</c:v>
                </c:pt>
                <c:pt idx="1">
                  <c:v>Семья</c:v>
                </c:pt>
                <c:pt idx="2">
                  <c:v>Жилище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992</c:v>
                </c:pt>
                <c:pt idx="1">
                  <c:v>480</c:v>
                </c:pt>
                <c:pt idx="2">
                  <c:v>354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967360"/>
        <c:axId val="91268224"/>
      </c:barChart>
      <c:catAx>
        <c:axId val="939673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1268224"/>
        <c:crosses val="autoZero"/>
        <c:auto val="1"/>
        <c:lblAlgn val="ctr"/>
        <c:lblOffset val="100"/>
        <c:noMultiLvlLbl val="0"/>
      </c:catAx>
      <c:valAx>
        <c:axId val="91268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96736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46668-913D-4CB4-8BE7-F5379708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mailto:recep@ruobr.ru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Нехлебова</cp:lastModifiedBy>
  <cp:revision>2</cp:revision>
  <cp:lastPrinted>2023-01-16T05:13:00Z</cp:lastPrinted>
  <dcterms:created xsi:type="dcterms:W3CDTF">2023-07-04T06:45:00Z</dcterms:created>
  <dcterms:modified xsi:type="dcterms:W3CDTF">2023-07-04T06:45:00Z</dcterms:modified>
</cp:coreProperties>
</file>